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VAJDAI ANITA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Pókecz Kovács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haszonélvezőt ért sérelmek orvoslásának perjogi eszközei a római jogban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újszerű nézőpontból, a haszonélvező jogérvényesítési képességét középpontba állítva vizsgálom a római jogi haszonélvezet intézményét. A kutatás célja, hogy átfogó képet nyújtson arról, a haszonélvező mely jogeszközökkel, és milyen hatékonyan tudta érdekeit peres úton érvényesíteni az őt ért sérelmekkel szemben.</w:t>
      </w:r>
      <w:r>
        <w:rPr>
          <w:color w:val="000000"/>
          <w:sz w:val="24"/>
          <w:szCs w:val="24"/>
        </w:rPr>
        <w:br/>
        <w:t xml:space="preserve">Rávilágítok arra is, hogy a jogintézmény sajátos fejlődéstörténete ‒ különösen a jusztiniánuszi jogalkotás ‒ milyen erőteljes hatást gyakorolt a haszonélvező jogvédelmének alakulására és jogosultságainak kiterjesztésére.</w:t>
      </w:r>
      <w:r>
        <w:rPr>
          <w:color w:val="000000"/>
          <w:sz w:val="24"/>
          <w:szCs w:val="24"/>
        </w:rPr>
        <w:br/>
        <w:t xml:space="preserve">A haszonélvezeti jogot alkotó jogosultságok feltárása után a védelmükre szolgáló jogeszközöket elemzem, mely vizsgálat sajátossága a keresetek átlátható rendszerben történő áttekintése, valamint a dologi keresetek mellett a poenalis actiók indításának feltételeire való kiterjesztése.</w:t>
      </w:r>
      <w:r>
        <w:rPr>
          <w:color w:val="000000"/>
          <w:sz w:val="24"/>
          <w:szCs w:val="24"/>
        </w:rPr>
        <w:br/>
        <w:t xml:space="preserve">A dologi jogvédelem körében egyaránt vizsgálom a possessorius kereseteket, az actio confessoriát, továbbá actio Publiciana utilist is. Bár az in rem jogorvoslatok hatékonysága a jogfejlődés során egyensúlyba került a haszonélvezőt illető jogosítványok súlyával, azonban ezek nem minden esetben voltak alkalmasak sérelmei teljes körű orvoslására.</w:t>
      </w:r>
      <w:r>
        <w:rPr>
          <w:color w:val="000000"/>
          <w:sz w:val="24"/>
          <w:szCs w:val="24"/>
        </w:rPr>
        <w:br/>
        <w:t xml:space="preserve">A haszonélvezet tárgyán elkövetett deliktumok esetén szintén szükség volt a megfelelő jogvédelem biztosítására. Az egyes büntető keresetek kapcsán több felmerülő kérdést vizsgálok azzal kapcsolatban, hogy a sérelem ténylegesen a tulajdonost, a haszonélvezőt vagy mindkettőjüket egyaránt érte-e, és ennek megfelelően mikor rendelkezhetnek felperesi legitimációval. A kialakult ellentmondásokat feloldva és a megoldásokat összegezve arra a megállapításra jutottam, hogy felállítható egy, valamennyi deliktuális kereset indítására alkalmazható általános szabály. Az egyes büntető keresetekkel eszerint mind a tulajdonos, mind a haszonélvező perelhetett saját érdeksérelme erejéig, megosztva ezzel a jogorvoslati lehetőségeket a jogosultságok értéke arányában. A dologi keresetek mellett vagy helyett alkalmazandó deliktuális keresetek biztosították a sérelem teljes körű orvoslását, és így vált a jogvédelmi rendszer teljessé.</w:t>
      </w:r>
      <w:r>
        <w:rPr>
          <w:color w:val="000000"/>
          <w:sz w:val="24"/>
          <w:szCs w:val="24"/>
        </w:rPr>
        <w:br/>
        <w:t xml:space="preserve">A római jogban kialakult jogintézmény tehát már ekkor rendelkezett a mai napig meghatározó, jogrendszereken és korszakokon átívelő jellemzőjével, a haszonélvező abszolút joga teljes körű védelmének lehetőségével.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84346">
    <w:multiLevelType w:val="hybridMultilevel"/>
    <w:lvl w:ilvl="0" w:tplc="42379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84346">
    <w:abstractNumId w:val="996843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84238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