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VAJDAI</w:t>
            </w:r>
          </w:p>
          <w:p w:rsidR="00C275A3" w:rsidRDefault="00A96AEC" w:rsidP="00C275A3">
            <w:pPr>
              <w:pStyle w:val="Hallgatokepzes"/>
            </w:pPr>
            <w:r>
              <w:t>law</w:t>
            </w:r>
            <w:r>
              <w:br/>
            </w:r>
            <w:r w:rsidR="00E77B23">
              <w:t>Unified, 5.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Pókecz Kovács Dr.</w:t>
            </w:r>
          </w:p>
          <w:p w:rsidR="00DB4822" w:rsidRDefault="00DB4822" w:rsidP="009763E0">
            <w:pPr>
              <w:pStyle w:val="Konzulensektitulus"/>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actions of the usufructuary in the Roman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 the institution of the Roman Law usufruct based on the capacity of due process. The aim of my research is an overall exemplification about the types of actions and the efficiency of due process in connection with the injuries of the usufructuary.</w:t>
      </w:r>
      <w:r>
        <w:rPr>
          <w:color w:val="000000"/>
          <w:sz w:val="24"/>
          <w:szCs w:val="24"/>
        </w:rPr>
        <w:br/>
        <w:t xml:space="preserve">I highlight the special evolution of this institution having – especially during the Justinian legislation – a strong influence on the extension of legal protection and rights of the usufructuary.</w:t>
      </w:r>
      <w:r>
        <w:rPr>
          <w:color w:val="000000"/>
          <w:sz w:val="24"/>
          <w:szCs w:val="24"/>
        </w:rPr>
        <w:br/>
        <w:t xml:space="preserve">Afterward I analyse the legal instrument of the usufructuary. The particularity of my examination is the exemplification of the actions through a transparent system and I survey – beside the property law actions – the conditions of the initiation of the actiones poenalis.</w:t>
      </w:r>
      <w:r>
        <w:rPr>
          <w:color w:val="000000"/>
          <w:sz w:val="24"/>
          <w:szCs w:val="24"/>
        </w:rPr>
        <w:br/>
        <w:t xml:space="preserve">According to the legal protection of law of property, I also examine the possessorius actions, the actio confessoria and the actio Publiciana utilis. Nevertheless the efficiency of the in rem legal remedies equilibrated with the rights of the usufructuary, these remedies – in certain cases – weren’t able to solve the problem.</w:t>
      </w:r>
      <w:r>
        <w:rPr>
          <w:color w:val="000000"/>
          <w:sz w:val="24"/>
          <w:szCs w:val="24"/>
        </w:rPr>
        <w:br/>
        <w:t xml:space="preserve">In case of delictums connected with the object of the usufruct, adequate legal protection was needed. In connection with the criminal action it was questionable whether the injury was caused to the owner or usufructuary or both of them, and it was problematic when they possessed plaintiff legitimation. Dissolving the contradictions, in my point of view a general rule for the initiation of the actiones poenalis can be set up. According to this, the owner and the usufructuary as well could bring criminal actions pursuant to his or her injury by sharing the opportunities of the remedies based on the proportion of rights. The actiones poenalis ensured the overall remedy beside or instead of the law of property actions.</w:t>
      </w:r>
      <w:r>
        <w:rPr>
          <w:color w:val="000000"/>
          <w:sz w:val="24"/>
          <w:szCs w:val="24"/>
        </w:rPr>
        <w:br/>
        <w:t xml:space="preserve">To sum up, the institution evolved in the Roman Law has an intertemporal nature based on the overall protection of the usufructuary’s absolute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99646">
    <w:multiLevelType w:val="hybridMultilevel"/>
    <w:lvl w:ilvl="0" w:tplc="58849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99646">
    <w:abstractNumId w:val="68899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422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