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BÁRÁNY V. FANNY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HAVASI BIANKA</w:t>
            </w:r>
          </w:p>
          <w:p w:rsidR="00DB4822" w:rsidRDefault="00C275A3" w:rsidP="004D7940">
            <w:pPr>
              <w:pStyle w:val="Hallgatokepzes"/>
            </w:pPr>
            <w:r>
              <w:t>jogász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Állam- és Jogtudományi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Tilk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Kocsis Miklós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közigazgatás törvényessége a helyi önkormányzatok törvényességi kontrollja tekintetében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Tanulmányunkban a közigazgatás törvényességének kérdéskörét vizsgáljuk a helyi önkormányzatok törvényességi kontrollja tekintetében. Annak érdekében, hogy minél átfogóbb képet adhassunk jelen intézményről, pályamunkánkat három fő részre bontottuk.</w:t>
      </w:r>
      <w:r>
        <w:rPr>
          <w:color w:val="000000"/>
          <w:sz w:val="24"/>
          <w:szCs w:val="24"/>
        </w:rPr>
        <w:br/>
        <w:t xml:space="preserve">Az első részt nemzetközi kitekintéssel kezdjük, amelyben a Helyi Önkormányzatok Európai Chartáját, majd a törvényességi kontroll külföldi megoldásainak főbb vonulatait mutatjuk be. A nemzetközi megoldások vizsgálata során arra a következtetésre jutottunk, hogy a különböző típus szerinti besorolás ma már csak történeti szempontok alapján lehetséges, a valóságban a modellek egyes elemei rendszerint keverednek egymással.</w:t>
      </w:r>
      <w:r>
        <w:rPr>
          <w:color w:val="000000"/>
          <w:sz w:val="24"/>
          <w:szCs w:val="24"/>
        </w:rPr>
        <w:br/>
        <w:t xml:space="preserve">Dolgozatunk második része visszatekintés a korábbi törvényességi ellenőrzés intézményére, annak főbb jellemzőire, tapasztalataira. A téma feldolgozását 1990-től kezdve végezzük, kezdve a köztársasági megbízott intézményének, ezt követően a fővárosi és megyei közigazgatási (később államigazgatási) hivatalok, végül a regionális közigazgatási hivatalok működésének vizsgálatával. Tanulmányunkban kitérünk a törvényességi ellenőrzés szünetelésének időszakára, az ehhez kapcsolódó egyes alkotmánybírósági döntésekre, illetve az ellenőrzés időszakának gyakorlati problémáira is.</w:t>
      </w:r>
      <w:r>
        <w:rPr>
          <w:color w:val="000000"/>
          <w:sz w:val="24"/>
          <w:szCs w:val="24"/>
        </w:rPr>
        <w:br/>
        <w:t xml:space="preserve">A harmadik részben a hatályos jogforrások alaptörvényi, törvényi és rendeleti szintjének bemutatásán keresztül, a jelenleg működő törvényességi felügyelet kerül vizsgálatunk középpontjába. Célunk a megváltozott törvényességi felügyelet minél sokrétűbb bemutatása, átfogó kép kialakítása az intézményről, ezáltal segítve a szabályozás vitás pontjainak tisztázását, illetve gyakorlati alkalmazása eddigi tapasztalatainak leszűrését.</w:t>
      </w:r>
      <w:r>
        <w:rPr>
          <w:color w:val="000000"/>
          <w:sz w:val="24"/>
          <w:szCs w:val="24"/>
        </w:rPr>
        <w:br/>
        <w:t xml:space="preserve">Konklúzióként megfogalmazzuk, hogy az újonnan bevezetett felügyeleti eszközök megfelelően illeszkednek az önkormányzati rendszerbe, megteremtve ezzel a kormányhivatalok számára a lehetőséget a helyi önkormányzatok törvényességi felügyeletének megfelelő ellátására, a törvénysértések megelőzésére. Mindezek alapján elmondható, hogy a törvényességi kontroll újraszabályozása szükséges volt, hiszen a korábbi ellenőrzési rendszer kevéssé bizonyult alkalmasnak a szükséges feladatok ellátására.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82035">
    <w:multiLevelType w:val="hybridMultilevel"/>
    <w:lvl w:ilvl="0" w:tplc="97068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82035">
    <w:abstractNumId w:val="810820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22977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