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 FANNY BÁRÁNY </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BIANKA HAVASI</w:t>
            </w:r>
          </w:p>
          <w:p w:rsidR="00DB4822" w:rsidRDefault="00C275A3" w:rsidP="004D7940">
            <w:pPr>
              <w:pStyle w:val="Hallgatokepzes"/>
            </w:pPr>
            <w:r>
              <w:t>law</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Tilk</w:t>
            </w:r>
          </w:p>
          <w:p w:rsidR="00DB4822" w:rsidRDefault="00DB4822" w:rsidP="00E11062">
            <w:pPr>
              <w:pStyle w:val="Konzulensek"/>
            </w:pPr>
            <w:r w:rsidRPr="00DB4822">
              <w:t>associate professor, PTE ÁJK</w:t>
            </w:r>
          </w:p>
        </w:tc>
      </w:tr>
      <w:tr w:rsidR="00DB4822" w:rsidTr="00DB4822">
        <w:tc>
          <w:tcPr>
            <w:tcW w:w="9854" w:type="dxa"/>
          </w:tcPr>
          <w:p w:rsidR="00DB4822" w:rsidRPr="00DB4822" w:rsidRDefault="00DB4822" w:rsidP="004D7940">
            <w:pPr>
              <w:pStyle w:val="Konzulensek"/>
            </w:pPr>
            <w:r w:rsidRPr="00DB4822">
              <w:t>dr. Miklós Kocsis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Question of the Legality of the Public Administration with Respect to the Legal Control of Local Governments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examine the question of the legality of the public administration with respect to the legal control of local governments. In order to get a comprehensive picture of the present institution, we divided our paper into three main sections.</w:t>
      </w:r>
      <w:r>
        <w:rPr>
          <w:color w:val="000000"/>
          <w:sz w:val="24"/>
          <w:szCs w:val="24"/>
        </w:rPr>
        <w:br/>
        <w:t xml:space="preserve">The first section of our study starts with an international outlook, in which the European Charter of Local Self-Governments and then the main streams in the foreign solutions of the legal control are presented. In the course of the examination of international solutions we have come to the conclusion that the classification according to different types is today possible only on the basis of historical considerations, in reality, certain elements of the models are usually mixed with each other.</w:t>
      </w:r>
      <w:r>
        <w:rPr>
          <w:color w:val="000000"/>
          <w:sz w:val="24"/>
          <w:szCs w:val="24"/>
        </w:rPr>
        <w:br/>
        <w:t xml:space="preserve">The second part of our study is a review of the former institution of legal control and its main characteristics and experiences. The examination of the topic is done from the year 1990 on, beginning with the research of the operation of the Commissioner of the Republic, continuing with the capital and county administrative (later state-administrative) offices, and at last with the regional administrative offices. In our study we discuss the period of temporary cessation of the legal control, the related individual decisions of the Constitutional Court, such as the practical problems of the control period as well.</w:t>
      </w:r>
      <w:r>
        <w:rPr>
          <w:color w:val="000000"/>
          <w:sz w:val="24"/>
          <w:szCs w:val="24"/>
        </w:rPr>
        <w:br/>
        <w:t xml:space="preserve">In the third section, our focus is on the presentation of the existing legal sources in force reflected through the Basic Law, the laws and regulations. Our objective is to give a comprehensive presentation of the institute of legal supervision, thus helping to clarify the controversial issues of the legislation and the present experiences of its practical application.</w:t>
      </w:r>
      <w:r>
        <w:rPr>
          <w:color w:val="000000"/>
          <w:sz w:val="24"/>
          <w:szCs w:val="24"/>
        </w:rPr>
        <w:br/>
        <w:t xml:space="preserve">As a conclusion, we formulate that the recently introduced supervision tools work well with the local government system, thus creating the opportunity for the government offices to perform appropriate legal supervision in order to prevent violations of the law. Based on the above, we can establish that the re-regulation of the legal control was essential, since the previous control system proved to be less suitable to perform the required tasks.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72761">
    <w:multiLevelType w:val="hybridMultilevel"/>
    <w:lvl w:ilvl="0" w:tplc="33415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72761">
    <w:abstractNumId w:val="615727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580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