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DÁNIEL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Drinóczi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történeti alkotmány vívmányai és a Szent Korona az Alaptörvényben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Nemzeti Hitvallás a történeti alkotmányt és a Szent Koronát tartalmazó rendelkezésének és az Alaptörvény R) cikk (3) bekezdésének értelmezése. Munkámban a történeti alkotmány és a vívmányainak fogalma mellett a Szent Korona mai közjogi szerepét kutattam.</w:t>
      </w:r>
      <w:r>
        <w:rPr>
          <w:color w:val="000000"/>
          <w:sz w:val="24"/>
          <w:szCs w:val="24"/>
        </w:rPr>
        <w:br/>
        <w:t xml:space="preserve">Egyes szerzők álláspontjának áttekintését követően megalkottam a saját fogalmamat amely – véleményem szerint – definiálja a történeti alkotmány vívmányait. Ezen fogalomból kiindulva kidolgoztam annak tartalmát. A mai közjogban betöltött szerepük és – a véleményem szerinti jelentős hatásuk – miatt a történeti alkotmány vívmánya az Országgyűlés, mint népképviseleti alapon szervezett törvényhozó testület és a mentelmi jog, amely kétségtelenül az országgyűlési képviselők egyik legfontosabb joga. A történeti alkotmány vívmányai közé tartozik a Kormány, mint a végrehajtó hatalom csúcsszerve, és a kormányzással szoros kapcsolatban álló miniszteri felelősség és miniszteri ellenjegyzés intézménye. A történeti alkotmány vívmányainak sorába tartozik az igazságszolgáltatás intézménye, kiemelve a bírói hatalomgyakorlással összefüggő jogelveket. Végül, de nem utolsósorban a közigazgatás törvényessége; a szabadságjogok és a nemzetiségek egyenjogúsítása.</w:t>
      </w:r>
      <w:r>
        <w:rPr>
          <w:color w:val="000000"/>
          <w:sz w:val="24"/>
          <w:szCs w:val="24"/>
        </w:rPr>
        <w:br/>
        <w:t xml:space="preserve">Vizsgáltam a történeti alkotmány és a köztársasági államforma viszonyát. Megállapítottam, hogy a köztársasági államformát nem tekinthetjük a történeti alkotmány vívmányának, mert a történeti alkotmány századokon át összefonódott a királyság intézményével.</w:t>
      </w:r>
      <w:r>
        <w:rPr>
          <w:color w:val="000000"/>
          <w:sz w:val="24"/>
          <w:szCs w:val="24"/>
        </w:rPr>
        <w:br/>
        <w:t xml:space="preserve">Vizsgálódásom másik nagy témája a Szent Korona alaptörvényi szerepeltetése. Itt vázlatosan áttekintettem a Szent Korona magyar közjogtörténetben betöltött szerepét a középkortól az Alaptörvény 2011-es megalkotásáig. Ezt követően egyértelműen megállapítottam, hogy a Szent Korona megjelenése a magyar közjogban egyáltalán nem idegen, annak, ha nem is folyamatos, de nagy történelmi hagyományai vannak, amelynek – véleményem szerint – az Alaptörvény azzal adózik, hogy előkelő helyen és módon szerepelteti.</w:t>
      </w:r>
      <w:r>
        <w:rPr>
          <w:color w:val="000000"/>
          <w:sz w:val="24"/>
          <w:szCs w:val="24"/>
        </w:rPr>
        <w:br/>
        <w:t xml:space="preserve">Összegzően megállapítottam, hogy a történeti alkotmány vívmányai – mivel az Alaptörvény R) cikk (3) bekezdése ezt kimondja – értelmezési támpontként és segítségként szolgálnak a mai alkotmányjog számára. Ezek a vívmányok most már nem csak a jogtörténész, hanem az alkotmányjogász és a törvényhozó kutatásainak fókuszában is kell, hogy álljanak, az egyes jogalkotási kérdések és problémák vetületében.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28963">
    <w:multiLevelType w:val="hybridMultilevel"/>
    <w:lvl w:ilvl="0" w:tplc="86008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28963">
    <w:abstractNumId w:val="433289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4234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