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HEGEDÜS</w:t>
            </w:r>
          </w:p>
          <w:p w:rsidR="00C275A3" w:rsidRDefault="00A96AEC" w:rsidP="00C275A3">
            <w:pPr>
              <w:pStyle w:val="Hallgatokepzes"/>
            </w:pPr>
            <w:r>
              <w:t>Law</w:t>
            </w:r>
            <w:r>
              <w:br/>
            </w:r>
            <w:r w:rsidR="00E77B23">
              <w:t>Unified, 5.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Tímea Drinóczi dr.</w:t>
            </w:r>
          </w:p>
          <w:p w:rsidR="00DB4822" w:rsidRDefault="00DB4822" w:rsidP="009763E0">
            <w:pPr>
              <w:pStyle w:val="Konzulensektitulus"/>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achievements of the historical constitution and Holy Crown in the Fundamental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mainly about the interpretation Article R) ( 3) of the Fundamental Law along with the history of the Holy Crown. Article R(3) reads as follows: The provisions of the Fundamental Law shall be interpreted in accordance with their purposes, the National Avowal contained therein and the achievements of our historical constitution.</w:t>
      </w:r>
      <w:r>
        <w:rPr>
          <w:color w:val="000000"/>
          <w:sz w:val="24"/>
          <w:szCs w:val="24"/>
        </w:rPr>
        <w:br/>
        <w:t xml:space="preserve">In my work, after reviewing some concepts on this topic, I developed my own understanding and notion of “the achievements of our historical constitution” as well as its main content elements. I came to a conclusion that “the achievements of our historical constitution” are those institutions and principles of the Hungarian historical constitution that has an impact of contemporary constitutional law and development. Consequently, I have indicated the followings as constituent elements of “the achievements of our historical constitution”: National Assembly as a representative state organ and the institution of immunity; the Government, as the executive body, having close links to the government's ministerial responsibilities and to the institutions of ministerial countersignature; the independent judiciary the institution of the civil service; liberties, including the rights of minorities. I also examined the relation between the historical constitution and the republican form of government. I have established that the republican form of government cannot be considered a historical achievement, because the historical constitution was intertwined with the institution of the Monarchy for centuries. Another topic I have dealt with is the history and inclusion of the Holy Crown in the Fundamental Law and I have deduced that the inclusion of the institution of the Holy Crown into the constitution is not odd at all, as even though it had not continuously existed in the past, it still has a great historical tradition. In my conclusion I firmly state that the achievements of the historical constitution – as stipulated in the Fundamental, Article R) (3) – is a guidance for the contemporary interpretation of the constitution taking the continuous constitutional development into account. These achievements are now not only for the legal historian to be studied, but can also serve as a basis of research for constitutional lawyers and point of reference for the Parliament and the Constitutional Court when dealing with constitutional law matters.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72503">
    <w:multiLevelType w:val="hybridMultilevel"/>
    <w:lvl w:ilvl="0" w:tplc="62367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72503">
    <w:abstractNumId w:val="75872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020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