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KOVÁCS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Tilk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constitutional issues relating to the legal settlement of the problems concerning foreign currency loans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examined in my paper the constitutional issues relating to the legal (statutory) settlement of the problems concerning foreign currency loans.</w:t>
      </w:r>
    </w:p>
    <w:p>
      <w:pPr>
        <w:widowControl w:val="on"/>
        <w:pBdr/>
        <w:spacing w:before="240" w:after="240" w:line="240" w:lineRule="auto"/>
        <w:ind w:left="0" w:right="0"/>
        <w:jc w:val="left"/>
      </w:pPr>
      <w:r>
        <w:rPr>
          <w:color w:val="000000"/>
          <w:sz w:val="24"/>
          <w:szCs w:val="24"/>
        </w:rPr>
        <w:t xml:space="preserve">The Parliament has created a solution by the adoption of the Act XXXVIII of 2014 with the aim to help those citizens having foreign currency debts which is constitutionally questionable in several respects. It is this issue that I analysed in my paper. Before the substantive discussion of the topic, I will present the history of the underlying problem and the modalities of the legal treatment of this problem.</w:t>
      </w:r>
    </w:p>
    <w:p>
      <w:pPr>
        <w:widowControl w:val="on"/>
        <w:pBdr/>
        <w:spacing w:before="240" w:after="240" w:line="240" w:lineRule="auto"/>
        <w:ind w:left="0" w:right="0"/>
        <w:jc w:val="left"/>
      </w:pPr>
      <w:r>
        <w:rPr>
          <w:color w:val="000000"/>
          <w:sz w:val="24"/>
          <w:szCs w:val="24"/>
        </w:rPr>
        <w:t xml:space="preserve">The version of my study prepared for the Faculty-turn had been accomplished before the publishing of the decision of the Constitutional Court, thus I was able to form an „unbiased” standpoint; however, I built in the findings of the Constitutional Court and the opinions attached to the decision into the final version of my paper, indicating whether my standpoint was reflected in the arguments of the decision of the Constitutional Court, and if so, to what extent.</w:t>
      </w:r>
    </w:p>
    <w:p>
      <w:pPr>
        <w:widowControl w:val="on"/>
        <w:pBdr/>
        <w:spacing w:before="240" w:after="240" w:line="240" w:lineRule="auto"/>
        <w:ind w:left="0" w:right="0"/>
        <w:jc w:val="left"/>
      </w:pPr>
      <w:r>
        <w:rPr>
          <w:color w:val="000000"/>
          <w:sz w:val="24"/>
          <w:szCs w:val="24"/>
        </w:rPr>
        <w:t xml:space="preserve">The Constitutional Court had not justified either the viewpoints in the judicial motions, or the arguments in my positions. Thus – sticking to my original position – I examined the arguments to be found in the motions one after the other and tested the constitutionality of the Act going along the individual regulations of the Fundamental Law. I raised and examined in my paper several constitutional considerations that had not been formulated either in the motions or by the Constitutional Court, or by judges disagreeing or agreeing otherwise with the decision.</w:t>
      </w:r>
    </w:p>
    <w:p>
      <w:pPr>
        <w:widowControl w:val="on"/>
        <w:pBdr/>
        <w:spacing w:before="240" w:after="240" w:line="240" w:lineRule="auto"/>
        <w:ind w:left="0" w:right="0"/>
        <w:jc w:val="left"/>
      </w:pPr>
      <w:r>
        <w:rPr>
          <w:color w:val="000000"/>
          <w:sz w:val="24"/>
          <w:szCs w:val="24"/>
        </w:rPr>
        <w:t xml:space="preserve">My conclusion is that the constitutionality of the Act is questionable at several points, this legal solution - despite its potential effectiveness and the welcomed legislative intent contained in it – may create a dangerous precedent by pushing out the barriers of the guarantees of the rule of law, and it does not increase the citizens’ sense of responsibility either by relativising the clause in Article O) of the Fundamental Law, namely „Everybody is responsible for themselves…”. The point of my conclusion is that the goal cannot justify the means; the rule of law is not to be realized against the rule of law: the state must have an apparatus of experts and knowledge at its service that can contribute to the handling of social challenges with constitutionally compliant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40020">
    <w:multiLevelType w:val="hybridMultilevel"/>
    <w:lvl w:ilvl="0" w:tplc="10407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40020">
    <w:abstractNumId w:val="20340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912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