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KLÁRA BUJTOR</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ANNA RÉKA VINCZE</w:t>
            </w:r>
          </w:p>
          <w:p w:rsidR="00DB4822" w:rsidRDefault="00C275A3" w:rsidP="004D7940">
            <w:pPr>
              <w:pStyle w:val="Hallgatokepzes"/>
            </w:pPr>
            <w:r>
              <w:t>Law</w:t>
            </w:r>
            <w:r w:rsidR="00A96AEC">
              <w:br/>
              <w:t>Unified, 7. semester</w:t>
            </w:r>
          </w:p>
          <w:p w:rsidR="00DB4822" w:rsidRDefault="00DB4822" w:rsidP="004D7940">
            <w:pPr>
              <w:pStyle w:val="Hallgatointezmeny-kar"/>
            </w:pPr>
            <w:r>
              <w:t>University of Pécs</w:t>
            </w:r>
          </w:p>
          <w:p w:rsidR="00C265CE" w:rsidRPr="009E5FF1" w:rsidRDefault="00DB4822" w:rsidP="004D7940">
            <w:pPr>
              <w:pStyle w:val="Hallgatointezmeny-kar"/>
              <w:rPr>
                <w:b/>
                <w:caps/>
              </w:rPr>
            </w:pPr>
            <w:r>
              <w:t>Faculty of Law</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Tilk dr.</w:t>
            </w:r>
          </w:p>
          <w:p w:rsidR="00DB4822" w:rsidRDefault="00DB4822" w:rsidP="00E11062">
            <w:pPr>
              <w:pStyle w:val="Konzulensek"/>
            </w:pPr>
            <w:r w:rsidRPr="00DB4822">
              <w:t>associate professor ,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changes in the role of county governments from the change of regime to present days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our study is to analyze the changes in the role of the county governments of the past twenty-five years. Our goal is to explore the past, the present and the future of the county governments and to present the necessity of the existence of county governments.</w:t>
      </w:r>
      <w:r>
        <w:rPr>
          <w:color w:val="000000"/>
          <w:sz w:val="24"/>
          <w:szCs w:val="24"/>
        </w:rPr>
        <w:br/>
        <w:t xml:space="preserve">We began our study with a historical outlook, in which we tried to give a brief presentation of the role and significance of the counties in the past, and then the period after the change of the system. Subsequently, we showed the path leading to the new Local Government Act of 2011. We started our outlook with the program of 1996, which was ended by the reforms following the 2010 parliamentary election, and we summed up the changes. For this part of our study, there was had a substantial amount of literature available, which we elaborated within the restricted frames of length of the study.</w:t>
      </w:r>
      <w:r>
        <w:rPr>
          <w:color w:val="000000"/>
          <w:sz w:val="24"/>
          <w:szCs w:val="24"/>
        </w:rPr>
        <w:br/>
        <w:t xml:space="preserve">In the second half of our research paper, we elaborated the legal regulation background complementing it with practical knowledge. First, we examined the old Municipal Act and we showed accordingly the role of the county self-governments on its basis. After this we examined the statutory provision, namely the Act CLIV of 2011, concerning the counties in the first place. Finally we dealt more closely with the Local Government Act in force. We described the remaining tasks and duties of the county governments with respect to these findings. In order to obtain a more comprehensive and realistic picture of the current situation of the county governments, we prepared a questionnaire which we sent to the county governments. In order to gain thorough information about the practice, we personally called at several governments: information and facts obtained by empirical research helps forming a more authentic picture of the current situation.</w:t>
      </w:r>
      <w:r>
        <w:rPr>
          <w:color w:val="000000"/>
          <w:sz w:val="24"/>
          <w:szCs w:val="24"/>
        </w:rPr>
        <w:br/>
        <w:t xml:space="preserve">Our paper ends with a brief summary and our personal opinion about the state of county governments, according to which it is too early to ’bury’ the county governments, their existence – as long as they can keep their current tasks and are given the appropriate support – is unquestionable.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361136">
    <w:multiLevelType w:val="hybridMultilevel"/>
    <w:lvl w:ilvl="0" w:tplc="261993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361136">
    <w:abstractNumId w:val="733611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19567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