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 PÉTER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Petrétei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Egyenlők és egyenlőbbek. A választójog egyenlősége a hatályos alkotmányjogi szabályozásban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hatályos magyar Alaptörvény Az Országgyűlés című fejezetében, a 2. cikk (1) bekezdésében a következőképpen rendelkezik: Az országgyűlési képviselőket a választópolgárok általános és egyenlő választójog alapján, közvetlen és titkos szavazással, a választók akaratának szabad kifejezését biztosító választáson, sarkalatos törvényben meghatározott módon választják.</w:t>
      </w:r>
      <w:r>
        <w:rPr>
          <w:color w:val="000000"/>
          <w:sz w:val="24"/>
          <w:szCs w:val="24"/>
        </w:rPr>
        <w:br/>
        <w:t xml:space="preserve">Ezek azok a megkerülhetetlen alkotmányos alapelvek, melyek legitimálják a választásokat és melyeknek érvényesülniük kell egy demokratikus választási rendszerben. Magyarország Alaptörvénye külön nevesíti ezeket az alapelveket így garantálva, hogy a választási rendszerben érvényre kell juttatni őket és a választási rendszernek meg kell felelnie a demokrácia kritériumainak.</w:t>
      </w:r>
      <w:r>
        <w:rPr>
          <w:color w:val="000000"/>
          <w:sz w:val="24"/>
          <w:szCs w:val="24"/>
        </w:rPr>
        <w:br/>
        <w:t xml:space="preserve">Tanulmányomban a választójog alkotmányos alapelvei közül az egyik legjelentősebbet a választójog egyenlőségét mutatom be. Dolgozatom első részében a választójog egyenlőségét jogelméleti szempontból kívánom megközelíteni a legjelentősebb szakirodalmak és az Alkotmánybíróság által alkotott meghatározásokra alapozva. Ezt követően a választójog egyenlőségének gyakorlati megjelenését vizsgálom meg a jelenlegi választási rendszer több elemén keresztül. Ezekben az esetekben a rendszer minden általam bemutatásra kerülő eleménél megvizsgálom, hogy sajátosságuk sérti e az egyenlőség alkotmányos elvét. Munkámban külön kitérek a választási rendszer több olyan új elemére, melyeket a korábbi törvények nem tartalmaztak. Egyes részletszabályozások kapcsán igyekszem rávilágítani az egyenlőség elvének sérülékenységére, meglátásom szerint ezekben az esetekben alkotmányjogi korrekcióra van szükség.</w:t>
      </w:r>
      <w:r>
        <w:rPr>
          <w:color w:val="000000"/>
          <w:sz w:val="24"/>
          <w:szCs w:val="24"/>
        </w:rPr>
        <w:br/>
        <w:t xml:space="preserve">A kutatásomban a választójog egyenlőségét, mint központi elemet használom fel a választási rendszer egyes sajátosságainak részletes megvizsgálására és annak eldöntésére, hogy a rendszer minden elemében megfelel e az alkotmányosan elvárható kritériumoknak.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85111">
    <w:multiLevelType w:val="hybridMultilevel"/>
    <w:lvl w:ilvl="0" w:tplc="25449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85111">
    <w:abstractNumId w:val="75685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855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