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KRASZ</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Petrétei Dr.</w:t>
            </w:r>
          </w:p>
          <w:p w:rsidR="00DB4822" w:rsidRDefault="00DB4822" w:rsidP="00E11062">
            <w:pPr>
              <w:pStyle w:val="Konzulensek"/>
            </w:pPr>
            <w:r w:rsidRPr="00DB4822">
              <w:t>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Equal and more equal than others - The equal suffrage in the regulations of effective constitutional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effective Fundamental Law of Hungary take action in paragraph (1) of the Article 2 Members of the National Assembly shall be elected by universal and equal suffrage in a direct and secret ballot, in elections which guarantees the free expression of the will of the voters, in a manner laid down in a cardinal Act.</w:t>
      </w:r>
      <w:r>
        <w:rPr>
          <w:color w:val="000000"/>
          <w:sz w:val="24"/>
          <w:szCs w:val="24"/>
        </w:rPr>
        <w:br/>
        <w:t xml:space="preserve">These are the constitutional principles which cannot be gone round that legitimate the choices and for which ones they have to prevail in a democratic electoral system. Fundamental Law of Hungary designates these basic principles guaranteed so that it is necessary to enforce them in the electoral system separately and the electoral system has to be equal to the democracy's criteria.</w:t>
      </w:r>
      <w:r>
        <w:rPr>
          <w:color w:val="000000"/>
          <w:sz w:val="24"/>
          <w:szCs w:val="24"/>
        </w:rPr>
        <w:br/>
        <w:t xml:space="preserve">My study of the basic principles of the constitutional right to vote is one of the most noteworthy of the equality of suffrage are presented. In the first part of my paper I would like to be approached on the basis formed by the most important literature and the Constitutional Court on the definition of equal suffrage legal theory point of view. Then, examine the practical equality of suffrage looked through the current electoral system.</w:t>
      </w:r>
      <w:r>
        <w:rPr>
          <w:color w:val="000000"/>
          <w:sz w:val="24"/>
          <w:szCs w:val="24"/>
        </w:rPr>
        <w:br/>
        <w:t xml:space="preserve">In these cases, every aspect of the system examined by me will be looked at in the aspect of violation of the constitutional principle of the equality. In my work, I deal with the separate electoral system?, a number of new elements that were not included in the earlier legislation. I try to highlight some of the detailed rules in relation to the vulnerability of the principle of equality, as in my view, constitutional adjustment is required in these cases.</w:t>
      </w:r>
      <w:r>
        <w:rPr>
          <w:color w:val="000000"/>
          <w:sz w:val="24"/>
          <w:szCs w:val="24"/>
        </w:rPr>
        <w:br/>
        <w:t xml:space="preserve">In my research I use the suffrage equality as a central element for detailed examination to determine some of the specific features of the electoral system and if the system conforms in all respects to the constitutionally reasonable criteria.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72372">
    <w:multiLevelType w:val="hybridMultilevel"/>
    <w:lvl w:ilvl="0" w:tplc="90989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72372">
    <w:abstractNumId w:val="37672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013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