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ALEXANDRA</w:t>
            </w:r>
          </w:p>
          <w:p w:rsidR="00C275A3" w:rsidRDefault="00A96AEC" w:rsidP="00C275A3">
            <w:pPr>
              <w:pStyle w:val="Hallgatokepzes"/>
            </w:pPr>
            <w:r>
              <w:t>Jogász</w:t>
            </w:r>
            <w:r>
              <w:br/>
            </w:r>
            <w:r w:rsidR="00E77B23">
              <w:t>Osztatlan, 7. félév</w:t>
            </w:r>
          </w:p>
          <w:p w:rsidR="00C265CE" w:rsidRPr="009E5FF1" w:rsidRDefault="00E77B23" w:rsidP="009763E0">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Fenyvesi Csaba</w:t>
            </w:r>
          </w:p>
          <w:p w:rsidR="00DB4822" w:rsidRDefault="00DB4822" w:rsidP="009763E0">
            <w:pPr>
              <w:pStyle w:val="Konzulensektitulus"/>
            </w:pPr>
            <w:r w:rsidRPr="00DB4822">
              <w:t>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justizmordhoz vezető kriminalisztikai hibák az Egyesült Államokban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Kiemelkedően fontosnak tartom, hogy a justizmordokhoz – téves ítéletekhez – vezető kriminalisztikai hibák feltárására és orvoslására nagyobb figyelmet fordítsunk, hogy a jövőben ártatlan emberek felelősségre vonása az igazságszolgáltatás hiányosságai végett elkerülhető legyen. Az Egyesült Államok élen jár a detektál és kompenzált justizmord esetek terén, ezért esett a választásom erre az országra. Emellett egyedülállónak tekinthető civil szervezet – az Innocence Project – aktív tevékenysége, a kétséges ügyek DNS technológia által történő újravizsgálása példa értékű és hazánkban is követendő kellene, hogy legyen. Kutatásom eredményeként öt – illetve egy hatodik kiegészítő – csoportba gyűjtöttem az Egyesül Államokban legjellemzőbb kriminalisztikai hibákat, melyek az alábbiak: </w:t>
      </w:r>
    </w:p>
    <w:p>
      <w:pPr>
        <w:pStyle w:val="ListParagraphPHPDOCX"/>
        <w:numPr>
          <w:ilvl w:val="0"/>
          <w:numId w:val="35185066"/>
        </w:numPr>
        <w:spacing w:before="0" w:after="0" w:line="240" w:lineRule="auto"/>
        <w:contextualSpacing/>
        <w:jc w:val="left"/>
        <w:rPr>
          <w:sz w:val="24"/>
          <w:szCs w:val="24"/>
        </w:rPr>
      </w:pPr>
      <w:r>
        <w:rPr>
          <w:color w:val="000000"/>
          <w:sz w:val="24"/>
          <w:szCs w:val="24"/>
        </w:rPr>
        <w:t xml:space="preserve">téves azonosítás szemtanúk által, </w:t>
      </w:r>
    </w:p>
    <w:p>
      <w:pPr>
        <w:pStyle w:val="ListParagraphPHPDOCX"/>
        <w:numPr>
          <w:ilvl w:val="0"/>
          <w:numId w:val="35185066"/>
        </w:numPr>
        <w:spacing w:before="0" w:after="0" w:line="240" w:lineRule="auto"/>
        <w:contextualSpacing/>
        <w:jc w:val="left"/>
        <w:rPr>
          <w:sz w:val="24"/>
          <w:szCs w:val="24"/>
        </w:rPr>
      </w:pPr>
      <w:r>
        <w:rPr>
          <w:color w:val="000000"/>
          <w:sz w:val="24"/>
          <w:szCs w:val="24"/>
        </w:rPr>
        <w:t xml:space="preserve">hamis beismerés, </w:t>
      </w:r>
    </w:p>
    <w:p>
      <w:pPr>
        <w:pStyle w:val="ListParagraphPHPDOCX"/>
        <w:numPr>
          <w:ilvl w:val="0"/>
          <w:numId w:val="35185066"/>
        </w:numPr>
        <w:spacing w:before="0" w:after="0" w:line="240" w:lineRule="auto"/>
        <w:contextualSpacing/>
        <w:jc w:val="left"/>
        <w:rPr>
          <w:sz w:val="24"/>
          <w:szCs w:val="24"/>
        </w:rPr>
      </w:pPr>
      <w:r>
        <w:rPr>
          <w:color w:val="000000"/>
          <w:sz w:val="24"/>
          <w:szCs w:val="24"/>
        </w:rPr>
        <w:t xml:space="preserve">megbízhatatlan vagy nem megfelelő forenzikus tudomány, </w:t>
      </w:r>
    </w:p>
    <w:p>
      <w:pPr>
        <w:pStyle w:val="ListParagraphPHPDOCX"/>
        <w:numPr>
          <w:ilvl w:val="0"/>
          <w:numId w:val="35185066"/>
        </w:numPr>
        <w:spacing w:before="0" w:after="0" w:line="240" w:lineRule="auto"/>
        <w:contextualSpacing/>
        <w:jc w:val="left"/>
        <w:rPr>
          <w:sz w:val="24"/>
          <w:szCs w:val="24"/>
        </w:rPr>
      </w:pPr>
      <w:r>
        <w:rPr>
          <w:color w:val="000000"/>
          <w:sz w:val="24"/>
          <w:szCs w:val="24"/>
        </w:rPr>
        <w:t xml:space="preserve">állami félrevezetés, </w:t>
      </w:r>
    </w:p>
    <w:p>
      <w:pPr>
        <w:pStyle w:val="ListParagraphPHPDOCX"/>
        <w:numPr>
          <w:ilvl w:val="0"/>
          <w:numId w:val="35185066"/>
        </w:numPr>
        <w:spacing w:before="0" w:after="0" w:line="240" w:lineRule="auto"/>
        <w:contextualSpacing/>
        <w:jc w:val="left"/>
        <w:rPr>
          <w:sz w:val="24"/>
          <w:szCs w:val="24"/>
        </w:rPr>
      </w:pPr>
      <w:r>
        <w:rPr>
          <w:color w:val="000000"/>
          <w:sz w:val="24"/>
          <w:szCs w:val="24"/>
        </w:rPr>
        <w:t xml:space="preserve">informátorok, </w:t>
      </w:r>
    </w:p>
    <w:p>
      <w:pPr>
        <w:pStyle w:val="ListParagraphPHPDOCX"/>
        <w:numPr>
          <w:ilvl w:val="0"/>
          <w:numId w:val="35185066"/>
        </w:numPr>
        <w:spacing w:before="0" w:after="0" w:line="240" w:lineRule="auto"/>
        <w:contextualSpacing/>
        <w:jc w:val="left"/>
        <w:rPr>
          <w:sz w:val="24"/>
          <w:szCs w:val="24"/>
        </w:rPr>
      </w:pPr>
      <w:r>
        <w:rPr>
          <w:color w:val="000000"/>
          <w:sz w:val="24"/>
          <w:szCs w:val="24"/>
        </w:rPr>
        <w:t xml:space="preserve">valamint az előbbiek mellett kiegészítő tényezőként megjelenő gyenge védői munka.</w:t>
      </w:r>
    </w:p>
    <w:p>
      <w:pPr>
        <w:widowControl w:val="on"/>
        <w:pBdr/>
        <w:spacing w:before="240" w:after="240" w:line="240" w:lineRule="auto"/>
        <w:ind w:left="0" w:right="0"/>
        <w:jc w:val="left"/>
      </w:pPr>
      <w:r>
        <w:rPr>
          <w:color w:val="000000"/>
          <w:sz w:val="24"/>
          <w:szCs w:val="24"/>
        </w:rPr>
        <w:t xml:space="preserve">Ezen hibatípusok főbb jellemzőit és megjelenési formáit ismertetem, majd egy jogesettel igazolom – illetve elemzem – azok gyakoriságát munkámban. Végső következtetésként különböző alternatívákat szemléltetek, melyekkel az ismertetett kriminalisztikai hibák elkerülhetőek, de legalábbis azok előfordulása minimálisra csökkenthető. Ilyen megoldásnak tekinthető az események rekonstruálása, továbbá egyéb közvetett bizonyítékok gyűjtésére való törekvés – első sorban „téves azonosítás szemtanúk által” esetében – , valamint nélkülözhetetlennek tartom szakemberek bevonását az eljárásba, szakvélemények kikérését – például „hamis beismerés” esetén. A szakértők tévedéseinek kiszűrésére több, egymástól akár független szakvélemény kikérését tartom célravezetőnek. Fejlettebb technológia bevonása, valamint egy alaposabban kifejlesztett nyomozati rendszer, ezen felül az azonosítás mellett az elkövetés motívumának középpontba helyezése további előrelépést jelenthet. Végezetül, egy új szakterület kimunkálása, melyben szakemberek jogi, pszichológiai és a nyomozati rendszerrel kapcsolatos ismeretekkel rendelkeznek, s felügyeletük alatt tartják az egész eljárást, ezzel segítve az esetleges hibák feltárását, szintén fejlődést jelenthet.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85066">
    <w:multiLevelType w:val="hybridMultilevel"/>
    <w:lvl w:ilvl="0" w:tplc="53550429">
      <w:start w:val="1"/>
      <w:numFmt w:val="decimal"/>
      <w:lvlText w:val="%1."/>
      <w:lvlJc w:val="left"/>
      <w:pPr>
        <w:ind w:left="720" w:hanging="360"/>
      </w:pPr>
    </w:lvl>
    <w:lvl w:ilvl="1" w:tplc="53550429" w:tentative="1">
      <w:start w:val="1"/>
      <w:numFmt w:val="lowerLetter"/>
      <w:lvlText w:val="%2."/>
      <w:lvlJc w:val="left"/>
      <w:pPr>
        <w:ind w:left="1440" w:hanging="360"/>
      </w:pPr>
    </w:lvl>
    <w:lvl w:ilvl="2" w:tplc="53550429" w:tentative="1">
      <w:start w:val="1"/>
      <w:numFmt w:val="lowerRoman"/>
      <w:lvlText w:val="%3."/>
      <w:lvlJc w:val="right"/>
      <w:pPr>
        <w:ind w:left="2160" w:hanging="180"/>
      </w:pPr>
    </w:lvl>
    <w:lvl w:ilvl="3" w:tplc="53550429" w:tentative="1">
      <w:start w:val="1"/>
      <w:numFmt w:val="decimal"/>
      <w:lvlText w:val="%4."/>
      <w:lvlJc w:val="left"/>
      <w:pPr>
        <w:ind w:left="2880" w:hanging="360"/>
      </w:pPr>
    </w:lvl>
    <w:lvl w:ilvl="4" w:tplc="53550429" w:tentative="1">
      <w:start w:val="1"/>
      <w:numFmt w:val="lowerLetter"/>
      <w:lvlText w:val="%5."/>
      <w:lvlJc w:val="left"/>
      <w:pPr>
        <w:ind w:left="3600" w:hanging="360"/>
      </w:pPr>
    </w:lvl>
    <w:lvl w:ilvl="5" w:tplc="53550429" w:tentative="1">
      <w:start w:val="1"/>
      <w:numFmt w:val="lowerRoman"/>
      <w:lvlText w:val="%6."/>
      <w:lvlJc w:val="right"/>
      <w:pPr>
        <w:ind w:left="4320" w:hanging="180"/>
      </w:pPr>
    </w:lvl>
    <w:lvl w:ilvl="6" w:tplc="53550429" w:tentative="1">
      <w:start w:val="1"/>
      <w:numFmt w:val="decimal"/>
      <w:lvlText w:val="%7."/>
      <w:lvlJc w:val="left"/>
      <w:pPr>
        <w:ind w:left="5040" w:hanging="360"/>
      </w:pPr>
    </w:lvl>
    <w:lvl w:ilvl="7" w:tplc="53550429" w:tentative="1">
      <w:start w:val="1"/>
      <w:numFmt w:val="lowerLetter"/>
      <w:lvlText w:val="%8."/>
      <w:lvlJc w:val="left"/>
      <w:pPr>
        <w:ind w:left="5760" w:hanging="360"/>
      </w:pPr>
    </w:lvl>
    <w:lvl w:ilvl="8" w:tplc="53550429" w:tentative="1">
      <w:start w:val="1"/>
      <w:numFmt w:val="lowerRoman"/>
      <w:lvlText w:val="%9."/>
      <w:lvlJc w:val="right"/>
      <w:pPr>
        <w:ind w:left="6480" w:hanging="180"/>
      </w:pPr>
    </w:lvl>
  </w:abstractNum>
  <w:abstractNum w:abstractNumId="35185064">
    <w:multiLevelType w:val="hybridMultilevel"/>
    <w:lvl w:ilvl="0" w:tplc="44873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85064">
    <w:abstractNumId w:val="35185064"/>
  </w:num>
  <w:num w:numId="35185066">
    <w:abstractNumId w:val="351850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991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