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BARNABÁS</w:t>
            </w:r>
          </w:p>
          <w:p w:rsidR="00C275A3" w:rsidRDefault="00A96AEC" w:rsidP="00C275A3">
            <w:pPr>
              <w:pStyle w:val="Hallgatokepzes"/>
            </w:pPr>
            <w:r>
              <w:t>jogász 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Ivancsics Imre</w:t>
            </w:r>
          </w:p>
          <w:p w:rsidR="00DB4822" w:rsidRDefault="00DB4822" w:rsidP="00E11062">
            <w:pPr>
              <w:pStyle w:val="Konzulensek"/>
            </w:pPr>
            <w:r w:rsidRPr="00DB4822">
              <w:t>ny. 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Külföldiek igazgatásának egyes kérdései, különös tekintettel a menekültügyre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idegenrendészet, egyes területei és maga a menekültügy a modern társadalmunk mindennapos kihívásainak része, még ha nem is érzékeljük ezt közvetlenül a hétköznapjainkban. A pontos szabályozásról és a témában rejlő lehetőségekről kevesen tudnak. Napjainkban óriási nyomás nehezedik az államra a megnövekedett feladatmennyiség megoldása és kezelése terén. Ez azonban nem csak az egyes államok önálló problémája, hanem egy szoros kapcsolatot mutat a nemzetközi közösség vonatkozásában is. Egy olyan területről beszélünk, ahol államhatárokat átívelve kell együttműködni, közösen dolgozni azon. hogy kialakítsunk egy olyan infrastruktúrát, intézményrendszert és jogi szabályozást, ami a leginkább megfelel a folyamatosan növekvő igényeknek.</w:t>
      </w:r>
      <w:r>
        <w:rPr>
          <w:color w:val="000000"/>
          <w:sz w:val="24"/>
          <w:szCs w:val="24"/>
        </w:rPr>
        <w:br/>
        <w:t xml:space="preserve">Dolgozatom készítésekor ügyeltem arra, hogy a téma megértését elősegítő történeti vívmányokat is bemutassak, amelyek segítenek a jelen állapotok kialakulását megérteni. A rendvédelmi igazgatás általános szabályozásáról, működéséről röviden megemlékeztem, ahol a magyar rendészet fogalmának kialakulásával, történeti fejlődésével kezdve, a jelen jogi szabályozásához érve kívántam az későbbi tárgyaláshoz szükséges alapot felépíteni.</w:t>
      </w:r>
      <w:r>
        <w:rPr>
          <w:color w:val="000000"/>
          <w:sz w:val="24"/>
          <w:szCs w:val="24"/>
        </w:rPr>
        <w:br/>
        <w:t xml:space="preserve">Ezt követően az idegenrendészet témakörében, szintén a történeti megközelítést követően tisztáztam alapfogalmakat és különbségeket, valamint a szervezeti rendszer felépítése is tárgyalásra került.</w:t>
      </w:r>
      <w:r>
        <w:rPr>
          <w:color w:val="000000"/>
          <w:sz w:val="24"/>
          <w:szCs w:val="24"/>
        </w:rPr>
        <w:br/>
        <w:t xml:space="preserve">Végezetül dolgozatom központi témájához érve, a menekültügy múltját, és jelenét kívántam bemutatni, feldolgozva a rendelkezésre álló magyar és külföldi joganyagot, uniós szabályozást. A magyar menekültügy „magját”, a menekültügyi eljárás részletes tárgyalását azért tartottam ilyen részletekbe menően szükségesnek, hisz az eljárás alapos ismerete és jogszerű levezetése talán a menekültügy legelemibb oldala.</w:t>
      </w:r>
      <w:r>
        <w:rPr>
          <w:color w:val="000000"/>
          <w:sz w:val="24"/>
          <w:szCs w:val="24"/>
        </w:rPr>
        <w:br/>
        <w:t xml:space="preserve">Záró fejezetembe a jogi szabályozás mellett, a menekültügy emberi arcát kívántam megmutatni, ahol a magyar menekültügy XX. századi helytállását és működését megismerve, talán jobban szembenézhetünk jelenünk kihívásaival.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250709">
    <w:multiLevelType w:val="hybridMultilevel"/>
    <w:lvl w:ilvl="0" w:tplc="79983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250709">
    <w:abstractNumId w:val="952507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84983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