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KISFALI BÁLINT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Bencsik András PhD</w:t>
            </w:r>
          </w:p>
          <w:p w:rsidR="00DB4822" w:rsidRDefault="00DB4822" w:rsidP="00E11062">
            <w:pPr>
              <w:pStyle w:val="Konzulensek"/>
            </w:pPr>
            <w:r w:rsidRPr="00DB4822">
              <w:t>adjunktus, PTE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Újra Járások A Közigazgatásban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pályamunka központjában a 2013. január 1-el létrejött járási rendszer áll. A fő tárgykört két irányból közelíti meg. A vertikális vonalat a magyar történelemben megjelenő, a mai járási rendszerhez hasonló közigazgatási egységek vizsgálata alkotja. A történelmi előzmények kutatását – tekintve, hogy akkoriban jelent meg először azonos szintű közigazgatási modell – a XIII. századtól egészen a tanácsrendszer végéig, és a járási rendszer 1984-es megszűnésével bezárólag végzi. A vizsgálódás horizontális síkon a külföldi járási struktúrák elemzése, csoportosítása. Ezeken a szálakon ér el témakör fő pontjához, a Magyarországon majdnem 30 éve „kispadon ülő” járási rendszer kialakításához, jogszabályi hátterének tanulmányozásához, annak gyakorlati életben való realizálódásához.</w:t>
      </w:r>
      <w:r>
        <w:rPr>
          <w:color w:val="000000"/>
          <w:sz w:val="24"/>
          <w:szCs w:val="24"/>
        </w:rPr>
        <w:br/>
        <w:t xml:space="preserve">Munkám során nem csupán a szakirodalmak és törvények felhasználásával dolgoztam, hanem fölkerestem a közigazgatásban dolgozó, komoly szakértelemmel és sokéves tapasztalattal rendelkező járási hivatalvezetőket és helyi önkormányzati jegyzőket. Az interjúk keretében felmerülő problémakörök és javaslatok alapján, azokat a hatályos jogi szabályozással összevetve a következőkre jutottam, összegezve. Kardinális gond a rendszer felépítése során a financiális hiányok, amelyek a jogalkotót arra késztették, hogy a meglévő vagyoni potenciálokból kanalizálja a struktúra megteremtését, amely az önkormányzatokból történő átcsoportosítást eredményezte. Nem csupán anyagi értelemben történt átszervezés, hanem a foglalkoztatotti állomány tekintetében is. Az eltérő viszonyok miatt nem sikerült egységes arculatot kialakítani, jelentős minőségbeli eltérésekhez vezetett a létrejött hivatalok összefüggésében. Érdekes módon, pont az eredeti rendeltetésében, az egyes államigazgatási feladat- és hatáskörök vonatkozásában merültek fel szignifikáns hiányosságok az átvétel során. A dolgozat ezekre a problémákra világít rá, valamint azok orvoslására tesz felvetéseket.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957854">
    <w:multiLevelType w:val="hybridMultilevel"/>
    <w:lvl w:ilvl="0" w:tplc="885905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957854">
    <w:abstractNumId w:val="7895785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79285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