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HOHMANN</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Bencsik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NGO's in the status of client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revolves around the issue of NGOs under public administration proceedings, their special ‘client’ status in those proceedings, along with real practice of client-side rights. The main purpose of my thesis is to discover the substantive legal framework for the participation of NGOs, to evaluate law enforcement and high court practice, to investigate the participation of determined NGOs and to identify legislative and executive issues regarding the subject.</w:t>
      </w:r>
      <w:r>
        <w:rPr>
          <w:color w:val="000000"/>
          <w:sz w:val="24"/>
          <w:szCs w:val="24"/>
        </w:rPr>
        <w:br/>
        <w:t xml:space="preserve">Significance and actuality of the topic of NGOs derives from the diversity of legal proceedings and from the fact that ultimately, the provision or rejection of the client status for NGOs can highly influence the final outcome of public administration proceedings.</w:t>
      </w:r>
      <w:r>
        <w:rPr>
          <w:color w:val="000000"/>
          <w:sz w:val="24"/>
          <w:szCs w:val="24"/>
        </w:rPr>
        <w:br/>
        <w:t xml:space="preserve">Throughout my thesis, I intend to analyse all the available resources from national and international substantive administrative law, administrative procedural law, legal solutions applied by foreign nations, legal cases from the practice of the Commissioner of the Parliament and also legal practice by public administration authorities and courts. Based on the above-mentioned, following an in-depth theoretical foundation for the topic and along the investigation of the in-effect legal framework, my thesis pays particular attention to related professional literature, provides an international review with regards to other regulatory models for the issue and comprehensively analyses the practical application of in-effect regulations. Based on experiences and assumptions, my thesis provides conclusions and specifies recommendations for further development.</w:t>
      </w:r>
      <w:r>
        <w:rPr>
          <w:color w:val="000000"/>
          <w:sz w:val="24"/>
          <w:szCs w:val="24"/>
        </w:rPr>
        <w:br/>
        <w:t xml:space="preserve">As part of my research, I performed a questionnaire-based survey regarding the relationship between the overall population and NGOs. Primarily, the survey investigated the public judgement regarding public administration proceedings with the presence of NGOs. My thesis gives a comprehensive analysis of all results and outcomes based on the survey that has been implemented with almost 550 individual participants and 25 NGOs.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53511">
    <w:multiLevelType w:val="hybridMultilevel"/>
    <w:lvl w:ilvl="0" w:tplc="5906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53511">
    <w:abstractNumId w:val="79153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17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