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PÁLINKÁS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Bencsik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restructuring of Hungarian regional public administration - The building of an integrated costumer service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is the reason of my choice of topic? On the one hand, that an ongoing development can be follow-uped, examined and analyzed as a customer-friendly and updated national administration is established; on the other hand, this process is perceptable by all the citizens of the state as it alters the relationship between the people and administration, and then it changes ultimately the entire Hungarian administrative culture.</w:t>
      </w:r>
    </w:p>
    <w:p>
      <w:pPr>
        <w:widowControl w:val="on"/>
        <w:pBdr/>
        <w:spacing w:before="240" w:after="240" w:line="240" w:lineRule="auto"/>
        <w:ind w:left="0" w:right="0"/>
        <w:jc w:val="left"/>
      </w:pPr>
      <w:r>
        <w:rPr>
          <w:color w:val="000000"/>
          <w:sz w:val="24"/>
          <w:szCs w:val="24"/>
        </w:rPr>
        <w:t xml:space="preserve">In 2010, the Government created the National Cooperation Programme in the framework of the National Cooperation’s System. The expressed aim was to evolve a good State, which is obviously transparent and responsible for itself, that is - among other things - assumes a simple administrative control and institutional system. In the interests of it’s creation, in 2011 three development programs were launched, which together form the Public Good Concept Development. The citizens most often contact with the state while they manage their administrative affairs, so their relationship is highly influenced by the burden of administrative procedures. The creation of a customer-friendly administration has to reduce this burden on the citizens.</w:t>
      </w:r>
    </w:p>
    <w:p>
      <w:pPr>
        <w:widowControl w:val="on"/>
        <w:pBdr/>
        <w:spacing w:before="240" w:after="240" w:line="240" w:lineRule="auto"/>
        <w:ind w:left="0" w:right="0"/>
        <w:jc w:val="left"/>
      </w:pPr>
      <w:r>
        <w:rPr>
          <w:color w:val="000000"/>
          <w:sz w:val="24"/>
          <w:szCs w:val="24"/>
        </w:rPr>
        <w:t xml:space="preserve">In my dissertation, I examine at first the organizational structure of the recent district Offices, which served as the basis for the reform of the national administration. Then, I set out the goal of the regional administrative restructuring, namely the formation of a hungarian customer-friendly administration. Its realizations are the Government's windows, the single point of contact where citizens get connection with the state. In Hungary, these Government’s windows appeared in 2011, which means that a little time was available in both national and international relation for its establishment and adequate deployment. At first, I consider their rapid formation process; thereafter we could follow the integrated customer service systems’ improvement to a National Network. Finally, I mention as an example two Member State of European Union with advanced administrations; Portugal and Germany. It will be appreciated that each state in a particular way - adjusted with their individual circumstances -, bring the administration closer to citizens, and facilitate their dealings with them. For the future, Portuguese and German model both could provide examples to the further improvement of the Hungarian public administration.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52710">
    <w:multiLevelType w:val="hybridMultilevel"/>
    <w:lvl w:ilvl="0" w:tplc="75113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52710">
    <w:abstractNumId w:val="38652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831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