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HOCK BÁLINT</w:t>
            </w:r>
          </w:p>
          <w:p w:rsidR="00C275A3" w:rsidRDefault="00A96AEC" w:rsidP="00C275A3">
            <w:pPr>
              <w:pStyle w:val="Hallgatokepzes"/>
            </w:pPr>
            <w:r>
              <w:t>jogász </w:t>
            </w:r>
            <w:r>
              <w:br/>
            </w:r>
            <w:r w:rsidR="00E77B23">
              <w:t>Osztatlan, 9.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Fenyvesi Csaba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PTE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bizonyítási teher a múltban és a jelenben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dolgozatban a bűnügyekben érvényesülő bizonyítási teher történetét és hatályos szabályozását mutatom be. Munkám által azt kívánom szemléltetni, a bizonyítási teherre vonatkozó meglehetősen rövid törvényi rendelkezések valójában sokkal nagyobb jelentőséggel és tartalommal bírnak, mint azt első ránézésre gondolnánk.</w:t>
      </w:r>
      <w:r>
        <w:rPr>
          <w:color w:val="000000"/>
          <w:sz w:val="24"/>
          <w:szCs w:val="24"/>
        </w:rPr>
        <w:br/>
        <w:t xml:space="preserve">Mivel a kérdésről már a legelső jogforrások is rendelkeztek, a bizonyítási teher történetét egészen a kezdeti időktől tudtam vizsgálni. A részletes történeti áttekintés során megállapítottam, hogy az ókori jogtudósok által megfogalmazott modern elvek a középkorban feledésbe merültek, melynek következtében a büntetőeljárás alá vont személy rendkívül kiszolgáltatott helyzetbe került. Ezután a magyar büntetőjog fejlődésének egyes állomásait kiemelve szemléltetem azt a több évszázados folyamatot, melynek eredményeképpen végül ismét megfogalmazták az ártatlanság vélelmét és bizonyítási teherre vonatkozó garanciális szabályokat abban a formában, ahogy azt napjainkban is ismerjük.</w:t>
      </w:r>
      <w:r>
        <w:rPr>
          <w:color w:val="000000"/>
          <w:sz w:val="24"/>
          <w:szCs w:val="24"/>
        </w:rPr>
        <w:br/>
        <w:t xml:space="preserve">Ezt követően a bizonyítási teher hatályos szabályozásával foglalkoztam, ahol először ismertettem a főszabályt, vagyis a hatóságok bizonyítási kötelezettségét. Rámutatok arra, hogy a törvény jelenlegi, az egyes hatóságok feladatainak következetesebb elhatárolása végett módosított szövege egymásnak részben ellentmond, ez pedig jogalkalmazási zavarokhoz vezethet. Mindezek után a bizonyítási teher megfordulásának egyes eseteit mutatom be, vagyis azokat az eseteket, ahol az anyagi jogi szabályozás következtében nem érvényesül a bizonyítási teher főszabálya, és az eljárás alá vont személy kényszerül arra, hogy valamit a saját érdekében bizonyítson. Valamennyi kivételnél vizsgáltam a bizonyítási teher megfordulásának okait, azok gyakorlatban történő érvényesülését, továbbá az eltereléssel kapcsolatban olyan javaslatokat fogalmaztam meg, amelyekkel véleményem szerint az intézmény eredményesebbé tehető.</w:t>
      </w:r>
      <w:r>
        <w:rPr>
          <w:color w:val="000000"/>
          <w:sz w:val="24"/>
          <w:szCs w:val="24"/>
        </w:rPr>
        <w:br/>
        <w:t xml:space="preserve">A hatályos hazai szabályozást áttekintését követően a bizonyítási teherrel kapcsolatos angol szabályozást vettem szemügyre. Az angol büntetőeljárás egész folyamatát vizsgálva mutattam be, hogy az eljáró hatóságoknak és az eljárásban részt vevő személyeknek milyen jogai és kötelezettségei vannak a bizonyítás során, ez pedig mennyiben mutat hasonlóságokat, illetve különbségeket a magyar szabályozáshoz képest. Bár bizonyos eltéréseket fel lehet fedezni, mégis megállapítható, hogy a bizonyítási teher lényegét tekintve azonosan érvényesül a szigetországban és hazánkban.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0347201">
    <w:multiLevelType w:val="hybridMultilevel"/>
    <w:lvl w:ilvl="0" w:tplc="1726772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0347201">
    <w:abstractNumId w:val="8034720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9534355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