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HOCK</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Fenyvesi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burden of proof in the past and in the present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would like to present the history, and the currently effective regulation of the burden of proof. The history of the burden of proof goes back to the ancient times. The roman lawyers drafted very modern principles, but unfortunately these principles did not prevail in the middle ages. As we can see in the Hungarian development, only in the 18th century will presumption of innocence drafted again.</w:t>
      </w:r>
      <w:r>
        <w:rPr>
          <w:color w:val="000000"/>
          <w:sz w:val="24"/>
          <w:szCs w:val="24"/>
        </w:rPr>
        <w:br/>
        <w:t xml:space="preserve">After that, I introduce the present Hungarian regulation. Firstly, I write about the general rule of the burden of proof, which means that the prosecution has to prove all elements of the offense. In connection with that, I found controversial provisions in the Code, which may cause difficulties in implementation of law. Secondly, I studied cases, in which the burden of proof is placed on the defendant. It can be ascertained, that the shifting of burden of proof was justified in each case.</w:t>
      </w:r>
      <w:r>
        <w:rPr>
          <w:color w:val="000000"/>
          <w:sz w:val="24"/>
          <w:szCs w:val="24"/>
        </w:rPr>
        <w:br/>
        <w:t xml:space="preserve">Finally, I examined the English criminal procedure. Although there are differences between the Hungarian and the English regulation, we can say, that the presumption of innocence and the general rule of the burden of proof is the same in the two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84981">
    <w:multiLevelType w:val="hybridMultilevel"/>
    <w:lvl w:ilvl="0" w:tplc="78461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84981">
    <w:abstractNumId w:val="50884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775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