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SOLYMOSI ÁDÁM ZSOLT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bizonyítási teher jelentősége a büntetőügyekben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büntető eljárásjog, illetve a büntető anyagi jog egyik alapvető jelentőségű intézményét, a bizonyítási terhet mutattam be. Legfőképpen arra a kérdésre kerestem választ, hogy a jogalkotó egy adott jogrendszerben milyen felfogással közelíti meg a bizonyítási teher kérdéskörét, hogyan szabályozza, milyen módon osztja meg az eljárás szereplői között. Vizsgáltam továbbá a bizonyítási teher alapelv jellegét, illetve, ahogy a dolgozatom címe is mutatja, ennek az alapelvnek jelentőségét a büntetőügyekben.</w:t>
      </w:r>
      <w:r>
        <w:rPr>
          <w:color w:val="000000"/>
          <w:sz w:val="24"/>
          <w:szCs w:val="24"/>
        </w:rPr>
        <w:br/>
        <w:t xml:space="preserve">A dolgozat során igyekeztem a bizonyítási terhet kettős szemléletben vizsgálni, eljárásjogi és anyagi jogi intézményként. Eljárásjogi szempontból a bizonyítási teher alapelv jellegét igyekeztem hangsúlyozni, ezen belül is azt, hogy milyen jelentős szerepe van az ártatlanság vélelmével kapcsolatban, összefüggésben a demokratikus jogállam által megkövetelt jogbiztonság elvével. Ezek az elvek függő viszonyban vannak egymással, a bizonyítási teher megfelelő és arányos szabályozása mindkét fentebb említett, a jogállamban elengedhetetlen jellegű követelményt szilárdítja meg.</w:t>
      </w:r>
      <w:r>
        <w:rPr>
          <w:color w:val="000000"/>
          <w:sz w:val="24"/>
          <w:szCs w:val="24"/>
        </w:rPr>
        <w:br/>
        <w:t xml:space="preserve">Ugyanakkor a kutatásom során nem feledkeztem meg az állam büntetőhatalmáról, a bűnüldözés igényéről, valamint annak hatékonyságáról és sikerességéről sem, melynek érdekében bizonyos esetekben célszerű feloldani azt az alapelveknek és a gyakorlati szempontoknak megfelelő szabályt, hogy a vád bizonyítása a vádlót terheli. Ez a szabályozás pedig egyértelműen az anyagi joghoz kapcsolódik, a büntető anyagi jogi jogszabályok határozzák meg ezeket az eseteket.</w:t>
      </w:r>
      <w:r>
        <w:rPr>
          <w:color w:val="000000"/>
          <w:sz w:val="24"/>
          <w:szCs w:val="24"/>
        </w:rPr>
        <w:br/>
        <w:t xml:space="preserve">Dolgozatomban ezen kívül igyekeztem még figyelmet fordítani a jogfejlődés szakaszaira, a változások tendenciáira, valamint a jogrendszerek szabályozásbeli megoldásainak összehasonlítására.</w:t>
      </w:r>
      <w:r>
        <w:rPr>
          <w:color w:val="000000"/>
          <w:sz w:val="24"/>
          <w:szCs w:val="24"/>
        </w:rPr>
        <w:br/>
        <w:t xml:space="preserve">Az Egyesült Királyság jogrendszerének elemzése során jutottam arra a következtetésre, hogy az egyes államok büntető szabályozásában egyre inkább az a tendencia fog megvalósulni és a magam részéről is ezt tartom helyesnek, hogy a jogalkotónak a hatósági bizonyítási terhet, kötelezettséget lazítania kell, tehát célszerű lenne a Büntető Törvénykönyvben a bizonyítási teher megfordulásának esetkörét kiterjeszteni. A legfőbb kérdés, amit fel kell tenni ilyenkor: Mikor célszerű és nem elvárhatatlan a bizonyítás kötelezettségét a terheltre hárítani? Ennek megfelelően semmilyen esetben nem szabad megfeledkezni az ezzel esetlegesen csorbuló terhelti jogok megfelelő biztosításáról, további eljárásjogi garanciákkal való alátámasztásáról sem.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84583">
    <w:multiLevelType w:val="hybridMultilevel"/>
    <w:lvl w:ilvl="0" w:tplc="35009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84583">
    <w:abstractNumId w:val="967845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679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