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ZSOLT SOLYMOSI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Fenyvesi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significance of the burden of proof in criminal cases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have dealt with the burden of proof, which is one of the most significant legal instrument of the criminal law and criminal procedure law. My main aim was to give an answer to the question that how the burden of proof is regulated in different legal systems, how it is divided between the participants of the criminal procedure. I have taken into consideration the nature of the burden of proof as well, namely its status as a fundamental principle in criminal procedures. I have also paid attention to the evolution of the burden of proof together with the comparison of the different solutions in the regulation of this particular subject.</w:t>
      </w:r>
      <w:r>
        <w:rPr>
          <w:color w:val="000000"/>
          <w:sz w:val="24"/>
          <w:szCs w:val="24"/>
        </w:rPr>
        <w:br/>
        <w:t xml:space="preserve">During the dissertation I have examined the instrument with a dual approach: as an instrument of substantive law and as an instrument of procedural law. I have tried to highlight the significance of the burden of proof in context with the presumption of innocence and the legal certainty which are all required in a democratic constitutional state. These legal principles are mutually dependent on each other, the proportional and sufficient regulation of the burden of proof solidifies both of these essential requirements.</w:t>
      </w:r>
      <w:r>
        <w:rPr>
          <w:color w:val="000000"/>
          <w:sz w:val="24"/>
          <w:szCs w:val="24"/>
        </w:rPr>
        <w:br/>
        <w:t xml:space="preserve">Nevertheless I have not forgotten about the criminal power of the state, the need of fight against crime, with regard to its efficiency and success. Taking these things into consideration, one has to wonder about the expedience of resolving the rule that proving the defendant’s guilt is the obligation of the prosecution. These cases are regulated by substantive laws and in my opinion these so-called ‘reverse onus clauses’, which are used frequently in legislation of the United Kingdom, are without a doubt necessary to improve the efficiency of the criminal procedure.</w:t>
      </w:r>
      <w:r>
        <w:rPr>
          <w:color w:val="000000"/>
          <w:sz w:val="24"/>
          <w:szCs w:val="24"/>
        </w:rPr>
        <w:br/>
        <w:t xml:space="preserve">Although I find the implementation of reverse onus clauses useful for enhancing the effectiveness of criminal investigation, the legislators shall not forget about the rights of the defendant, these entitlements shall be protected with further guarantees in order to avoid situations where the defendant is at the mercy of the power of the state. The most important question in this topic, which could be used as an epitome, is the following: In which situation is it practical to pass the burden of proof to the defendant, with regard to the possibility that the accused has the abilities and capacities of satisfying this obligation?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13740">
    <w:multiLevelType w:val="hybridMultilevel"/>
    <w:lvl w:ilvl="0" w:tplc="94445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13740">
    <w:abstractNumId w:val="65013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463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