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KAISER KRISTÓF</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Balogh Ágnes</w:t>
            </w:r>
          </w:p>
          <w:p w:rsidR="00DB4822" w:rsidRDefault="00DB4822" w:rsidP="00E11062">
            <w:pPr>
              <w:pStyle w:val="Konzulensek"/>
            </w:pPr>
            <w:r w:rsidRPr="00DB4822">
              <w:t>egyetemi docens,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Ahol a büntetőjog is csődöt mond, avagy a hitelezők megkárosításának lehetőségei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csődbűncselekmény törvényi tényállása az élet sokszínűségéhez igazodni képes, jól alkalmazható jogszabály. A szabályozás alapesetei végigkísérik az adós szándékos, társadalomra veszélyes magatartásait a fizetésképtelenséggel fenyegető helyzettől egészen a fizetésképtelenségi eljárás befejezéséig. A gyakorlati életben e büntetőjogilag értékelendő magatartások megítélése a legtöbb esetben egyszerű. Azonban annak ellenére, hogy a tényállás az időbeliséget a teljesség igényével átfogja, előfordulhat, hogy a büntetőjogi felelősségre vonás az adós „rátermettsége” vagy pusztán a szerencséje miatt nehézségekbe ütközik.</w:t>
      </w:r>
    </w:p>
    <w:p>
      <w:pPr>
        <w:widowControl w:val="on"/>
        <w:pBdr/>
        <w:spacing w:before="240" w:after="240" w:line="240" w:lineRule="auto"/>
        <w:ind w:left="0" w:right="0"/>
        <w:jc w:val="left"/>
      </w:pPr>
      <w:r>
        <w:rPr>
          <w:color w:val="000000"/>
          <w:sz w:val="24"/>
          <w:szCs w:val="24"/>
        </w:rPr>
        <w:t xml:space="preserve">Miként lehet fellépni a csődvédelmet kérő adós vezető tisztségviselőjével szemben abban az esetben, ha a gazdasági társaság vagyonát úgy próbálja kimenteni, hogy elhatározza, hogy a kötendő csődegyezséget fogja megfelelő módszerekkel befolyásolni úgy, hogy abban szinte kizárólag az ő akarata érvényesüljön. Belátható, hogy amennyiben sikerrel jár, annak következménye a hitelezők érdekeinek sérelme lesz. Ezáltal az adós gazdasági társaságban korábban megbízó hitelezők kielégítése oly mértékben kerül veszélybe vagy meghiúsulásra, hogy előfordulhat, hogy egy olyan (kényszer)egyezség fog rájuk vonatkozni, ami mindössze követeléseik 1%-át fogja megtéríteni és ezzel kénytelenek lesznek megelégedni, noha egyébként az adós helytállási lehetőségei ennél jóval nagyobbak lennének.</w:t>
      </w:r>
    </w:p>
    <w:p>
      <w:pPr>
        <w:widowControl w:val="on"/>
        <w:pBdr/>
        <w:spacing w:before="240" w:after="240" w:line="240" w:lineRule="auto"/>
        <w:ind w:left="0" w:right="0"/>
        <w:jc w:val="left"/>
      </w:pPr>
      <w:r>
        <w:rPr>
          <w:color w:val="000000"/>
          <w:sz w:val="24"/>
          <w:szCs w:val="24"/>
        </w:rPr>
        <w:t xml:space="preserve">Utol kell-e érni az ilyen gazdasági manővereket a büntetőjog eszközeivel?</w:t>
      </w:r>
      <w:r>
        <w:rPr>
          <w:color w:val="000000"/>
          <w:sz w:val="24"/>
          <w:szCs w:val="24"/>
        </w:rPr>
        <w:br/>
        <w:t xml:space="preserve">Nyilvánvalóan igen, ugyanis e cselekmények a hitelezők érdekeit súlyosan sérthetik.</w:t>
      </w:r>
    </w:p>
    <w:p>
      <w:pPr>
        <w:widowControl w:val="on"/>
        <w:pBdr/>
        <w:spacing w:before="240" w:after="240" w:line="240" w:lineRule="auto"/>
        <w:ind w:left="0" w:right="0"/>
        <w:jc w:val="left"/>
      </w:pPr>
      <w:r>
        <w:rPr>
          <w:color w:val="000000"/>
          <w:sz w:val="24"/>
          <w:szCs w:val="24"/>
        </w:rPr>
        <w:t xml:space="preserve">Utol lehet-e érni egyáltalán az ilyen gazdasági manővereket a büntetőjog eszközeivel?</w:t>
      </w:r>
      <w:r>
        <w:rPr>
          <w:color w:val="000000"/>
          <w:sz w:val="24"/>
          <w:szCs w:val="24"/>
        </w:rPr>
        <w:br/>
        <w:t xml:space="preserve">Erre a kérdésre határozott választ adni már sokkal nehezebb, éppen ezért a szerző dolgozatában nemcsak a gyakorlatban felmerülő jogértelmezési problémák, dogmatikai kérdések elemzésével foglalkozik, hanem egy olyan esetkört is górcső alá vesz, aminek a büntetőjog eszközeivel való utolérése szinte lehetetlen: be kívánja mutatni a csődegyezséggel elkövetett csődbűncselekmény esetét.</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214470">
    <w:multiLevelType w:val="hybridMultilevel"/>
    <w:lvl w:ilvl="0" w:tplc="22643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214470">
    <w:abstractNumId w:val="972144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44050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