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KAISER</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Balogh Dr.</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When criminal law fails, the possibility of causing loss to creditors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facts of the case of bankruptcy crimes is a well applicable legal act that is able to adjust to the variegation of life. The basic cases of this regulation cover all conducts posing threat to society from possible insolvency situations to the end of actual insolvency proceedings. In reality, most of the time, the criminal adjudication of these conducts is simple. However, despite that the fact pattern is completely grasped on a temporal scope, sometimes criminal impeachment might be troublesome due to the "aptitude" or luck of the debtor.</w:t>
      </w:r>
    </w:p>
    <w:p>
      <w:pPr>
        <w:widowControl w:val="on"/>
        <w:pBdr/>
        <w:spacing w:before="240" w:after="240" w:line="240" w:lineRule="auto"/>
        <w:ind w:left="0" w:right="0"/>
        <w:jc w:val="left"/>
      </w:pPr>
      <w:r>
        <w:rPr>
          <w:color w:val="000000"/>
          <w:sz w:val="24"/>
          <w:szCs w:val="24"/>
        </w:rPr>
        <w:t xml:space="preserve">What can be done against an executive officer of a debtor, who is trying to save the assets of a business association by intending to influence the bankruptcy proceedings in a way that pushes only his or her interests to the foreground? It is rather evident, that in case such efforts succeed, that would harm the interests of the lender. Therefore, the satisfaction of the lenders, who previously trusted the debtor business association, could either be highly endangered or might even fail; they may be forced into such a composition proceeding that only fulfils only 1% of what they claim, while the indemnification capacity of the debtor would allow more than that.</w:t>
      </w:r>
    </w:p>
    <w:p>
      <w:pPr>
        <w:widowControl w:val="on"/>
        <w:pBdr/>
        <w:spacing w:before="240" w:after="240" w:line="240" w:lineRule="auto"/>
        <w:ind w:left="0" w:right="0"/>
        <w:jc w:val="left"/>
      </w:pPr>
      <w:r>
        <w:rPr>
          <w:color w:val="000000"/>
          <w:sz w:val="24"/>
          <w:szCs w:val="24"/>
        </w:rPr>
        <w:t xml:space="preserve">Is it necessary to investigate such business manoeuvres with the methods of criminal law?</w:t>
      </w:r>
      <w:r>
        <w:rPr>
          <w:color w:val="000000"/>
          <w:sz w:val="24"/>
          <w:szCs w:val="24"/>
        </w:rPr>
        <w:br/>
        <w:t xml:space="preserve">Obviously, it is, since these manoeuvres might seriously harm the lenders' interests.</w:t>
      </w:r>
    </w:p>
    <w:p>
      <w:pPr>
        <w:widowControl w:val="on"/>
        <w:pBdr/>
        <w:spacing w:before="240" w:after="240" w:line="240" w:lineRule="auto"/>
        <w:ind w:left="0" w:right="0"/>
        <w:jc w:val="left"/>
      </w:pPr>
      <w:r>
        <w:rPr>
          <w:color w:val="000000"/>
          <w:sz w:val="24"/>
          <w:szCs w:val="24"/>
        </w:rPr>
        <w:t xml:space="preserve">Is it even possible to stand up against such business manoeuvres with the methods of criminal law?</w:t>
      </w:r>
      <w:r>
        <w:rPr>
          <w:color w:val="000000"/>
          <w:sz w:val="24"/>
          <w:szCs w:val="24"/>
        </w:rPr>
        <w:br/>
        <w:t xml:space="preserve">This question is much more difficult to answer. Therefore, in this paper, the author does not only deal with the analysis of problems of interpretation of law and dogmatic questions, but also attempts to investigate a type of cases, standing up against which, using the methods of criminal law, is nearly impossible: the case of bankruptcy crimes committed through composition.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35773">
    <w:multiLevelType w:val="hybridMultilevel"/>
    <w:lvl w:ilvl="0" w:tplc="22720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835773">
    <w:abstractNumId w:val="578357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93955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