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KÉRI ZSÓFIA</w:t>
            </w:r>
          </w:p>
          <w:p w:rsidR="00C275A3" w:rsidRDefault="00A96AEC" w:rsidP="00C275A3">
            <w:pPr>
              <w:pStyle w:val="Hallgatokepzes"/>
            </w:pPr>
            <w:r>
              <w:t>Ápolás-és betegellátás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Tóthné Steinhausz Viktória</w:t>
            </w:r>
          </w:p>
          <w:p w:rsidR="00DB4822" w:rsidRDefault="00DB4822" w:rsidP="00E11062">
            <w:pPr>
              <w:pStyle w:val="Konzulensek"/>
            </w:pPr>
            <w:r w:rsidRPr="00DB4822">
              <w:t>Szakoktató,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Neuromuscularis balance tréning NBI-es kosarasok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neuromuscularis balance tréning;kosárlabdázók;prevenció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 Számos nemzetközi kutatás bizonyította a prevenciós neuromuscularis balance tréning (NMB) hatékonyságát sérülések, újrasérülések megelőzésére. Célom a ZTE NBI-es férfi kosárlabdázók koordinációjának, egyensúlyának fejlesztése, és a törzsizom erő- és nyújthatóságának javítása, célzottan adaptált gyakorlatokkal.</w:t>
      </w:r>
      <w:r>
        <w:rPr>
          <w:color w:val="000000"/>
          <w:sz w:val="24"/>
          <w:szCs w:val="24"/>
        </w:rPr>
        <w:br/>
        <w:t xml:space="preserve">Anyag és módszer: A prospektív kutatás, kényelmi mintavétellel történt. 5 fő ZTE NBI-es férfi kosárlabdázó á.é.: 21,2(±1,6) négy hónapon át (2013.12.-2014.03., 17 hét) heti egyszer neuromusculáris balance tréningen vett részt, koordinációs, egyensúly, stabilizáló és stretching gyakorlatokat tartalmaztak. Beválasztási krit.: 18-25 év közötti NBI.-es kosárlabdázó, az elmúlt 6 hónapban nem vett részt neuromuscularis tréningen. Kizárási krit.: más neuromuscularis balance tréningen való részvétel, hiányzás&gt;20%. Mérési módszerek tréning előtt és után: Erő- és nyújthatósági teszt, Flamingó-, Funkcionális Reach-teszt, Pedobarograph (FootChecker 4.0 program). Statisztika: Átlag ±szórás, gyakoriság, T-próba, korreláció, (p&lt;0,05), SPSS 20 programmal.</w:t>
      </w:r>
      <w:r>
        <w:rPr>
          <w:color w:val="000000"/>
          <w:sz w:val="24"/>
          <w:szCs w:val="24"/>
        </w:rPr>
        <w:br/>
        <w:t xml:space="preserve">Eredmények: Erő-és nyújthatóság előtte/utána:5,6±3,04 vs 9,2±2,77; p=0,029. Funkcionális Reach teszt e./u.: 46,73±8,192 vs 43,26±4,83; p=0,346. Flamingo jobb láb e./u.: 9,60±8,79 vs 5,00±4,00; p=0,145. Flamingo bal láb e./u.:7,60±4,93 vs 5,00±4,35; p=0,406. Pedobarograph jobb nyitott e./u.: 4,75±2,77 vs 2,99±1,43; p=0,141. Pedobarog.bal.e./u.:3,35±2,08 vs 6,59±2,32; p=0,009. Korreláció: Flamingo bal e. - pedobarog. bal e.: r=-0,076; p=0,904; Flamingo-pedobarog. bal u.: r=0,129; p=0,837; Pedobarog.össz,felület e./u.: 56,85±19,12 vs 62,65±22,09; p=0,197.</w:t>
      </w:r>
      <w:r>
        <w:rPr>
          <w:color w:val="000000"/>
          <w:sz w:val="24"/>
          <w:szCs w:val="24"/>
        </w:rPr>
        <w:br/>
        <w:t xml:space="preserve">Következtetés: A vizsgált paraméterekben javulás történt, az erő és nyújthatóságnál, a Flamingó-tesztnél, és a testközéppont vetületének kitérésénél, de a különbség még nem szignifikáns. Az alacsony esetszám további növelése mindenképpen szükséges a jövőben. NBI-es kosárlabdázók körében hangsúlyt kell fektetni a testtartásért felelős izmok erő és nyújthatóságának gyakorlataira.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33791">
    <w:multiLevelType w:val="hybridMultilevel"/>
    <w:lvl w:ilvl="0" w:tplc="13615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33791">
    <w:abstractNumId w:val="77333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725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