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KERI</w:t>
            </w:r>
          </w:p>
          <w:p w:rsidR="00C275A3" w:rsidRDefault="00A96AEC" w:rsidP="00C275A3">
            <w:pPr>
              <w:pStyle w:val="Hallgatokepzes"/>
            </w:pPr>
            <w:r>
              <w:t>Nursing and patient care</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Viktoria Steinhausz </w:t>
            </w:r>
          </w:p>
          <w:p w:rsidR="00DB4822" w:rsidRDefault="00DB4822" w:rsidP="00E11062">
            <w:pPr>
              <w:pStyle w:val="Konzulensek"/>
            </w:pPr>
            <w:r w:rsidRPr="00DB4822">
              <w:t>Assistance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Neuromuscularis balance training for NBI basketball players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neuromuscular balance training;basketball players;prevention</w:t>
      </w:r>
      <w:r>
        <w:t xml:space="preserve"/>
      </w:r>
    </w:p>
    <w:p>
      <w:pPr>
        <w:widowControl w:val="on"/>
        <w:pBdr/>
        <w:spacing w:before="240" w:after="240" w:line="240" w:lineRule="auto"/>
        <w:ind w:left="0" w:right="0"/>
        <w:jc w:val="left"/>
      </w:pPr>
      <w:r>
        <w:rPr>
          <w:color w:val="000000"/>
          <w:sz w:val="24"/>
          <w:szCs w:val="24"/>
        </w:rPr>
        <w:t xml:space="preserve">Introduction and objectives: Several international research proved the efficiency of the preventive neuromuscular balance training (NMB) to prevent injuries and re-injuries. My aim is to improve the coordination and balance of the ZTE NBI male basketball players and the correction the strength and the flexibility of trunk muscles, with specifically adapted exercises.</w:t>
      </w:r>
      <w:r>
        <w:rPr>
          <w:color w:val="000000"/>
          <w:sz w:val="24"/>
          <w:szCs w:val="24"/>
        </w:rPr>
        <w:br/>
        <w:t xml:space="preserve">Material and method:The prospective study was made with convenience sampling. 5 people of the ZTE NBI male basketball players age: 21,2(±1,6) during 4 months (12/2013-03/2014, 17 weeks) weekly participated in a neuromuscular balance training, coordination, balance, stabilizing and stretching exercises were included. Enrolment criteria: age between 18-25, NBI basketball player who has not participated in neuromuscular training the last 6 months. Exclusion criteria: participation in neuromuscular balance training, absenteeism&gt;20%. Measurement methods before and after training: strength and flexibility test, Flamingo-, Functional Reach-test, Pedobarograph (FootChecker 4.0 software). Statistics: Average ±deviation, frequency, t-test, correlation, (p&lt;0,05), with SPSS 20 software.</w:t>
      </w:r>
      <w:r>
        <w:rPr>
          <w:color w:val="000000"/>
          <w:sz w:val="24"/>
          <w:szCs w:val="24"/>
        </w:rPr>
        <w:br/>
        <w:t xml:space="preserve">Results: Strength and flexibility before/after: 5,6±3,04 vs 9,2±2,77; p=0,029. Functional Reach test before/after: 46,73±8,192 vs 43,26±4,83; p=0,346. Flamingo right foot b./a.: 9,60±8,79 vs 5,00±4,00; p=0,145. Flamingo left foot b./a.: 7,60±4,93 vs 5,00±4,35; p=0,406. Pedobarograph right open b./a.: 4,75±2,77 vs 2,99±1,43; p=0,141. Pedobarog. left b./a.: 3,35±2,08 vs 6,59±2,32; p=0,009. Correlation: Flamingo left before – pedobarog. left before: r=-0,076; p=0,904; Flamingo – pedobarog. left after: r=0,129; p=0,837; Pedobarog.all,surface b./a.: 56,85±19,12 vs 62,65±22,09; p=0,197.</w:t>
      </w:r>
      <w:r>
        <w:rPr>
          <w:color w:val="000000"/>
          <w:sz w:val="24"/>
          <w:szCs w:val="24"/>
        </w:rPr>
        <w:br/>
        <w:t xml:space="preserve">Conclusion: There was an improvement in the studied parameters, at the strength and flexibility, at the Flamingo-test, and at the deviation of the projection of the body centre, but the difference is not significant yet. Further increase of the low number of cases is absolutely necessary in the future. Among NBI basketball players emphasis should be placed on the strength and flexibility exercises of muscles responsible for posture.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06761">
    <w:multiLevelType w:val="hybridMultilevel"/>
    <w:lvl w:ilvl="0" w:tplc="49457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06761">
    <w:abstractNumId w:val="90906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207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