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VARGA</w:t>
            </w:r>
          </w:p>
          <w:p w:rsidR="00C275A3" w:rsidRDefault="00A96AEC" w:rsidP="00C275A3">
            <w:pPr>
              <w:pStyle w:val="Hallgatokepzes"/>
            </w:pPr>
            <w:r>
              <w:t>political sciences</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Arato PhD</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crisis management of the Union under the aspects of democracy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economic crisis of 2008 induced several changes in the framework of the Economic and Monetary Union due to its systemic dysfunctions, pushing the Union's common monetary system and the whole process of European integration into the biggest crisis of its history. In the process of managing the crisis, institutional and political problems that had existed even before, but were kept out of the limelight or considered insignificant were brought to the surface. Latent threats originating from two main sources remained hidden. Firstly, coordination of Union-level monetary policy is impossible without a central coordination of fiscal policies. Secondly, as its consequence, the institution of Union-level economic governance is also impossible without overcoming the shortfalls in democratic accountability mechanisms and tackling democratic deficiency.</w:t>
      </w:r>
    </w:p>
    <w:p>
      <w:pPr>
        <w:widowControl w:val="on"/>
        <w:pBdr/>
        <w:spacing w:before="240" w:after="240" w:line="240" w:lineRule="auto"/>
        <w:ind w:left="0" w:right="0"/>
        <w:jc w:val="left"/>
      </w:pPr>
      <w:r>
        <w:rPr>
          <w:color w:val="000000"/>
          <w:sz w:val="24"/>
          <w:szCs w:val="24"/>
        </w:rPr>
        <w:t xml:space="preserve">The main subjects of the present paper written in the field of political science are the different steps of crisis management and their evaluation under the aspects of democracy through comparative methods.</w:t>
      </w:r>
    </w:p>
    <w:p>
      <w:pPr>
        <w:widowControl w:val="on"/>
        <w:pBdr/>
        <w:spacing w:before="240" w:after="240" w:line="240" w:lineRule="auto"/>
        <w:ind w:left="0" w:right="0"/>
        <w:jc w:val="left"/>
      </w:pPr>
      <w:r>
        <w:rPr>
          <w:color w:val="000000"/>
          <w:sz w:val="24"/>
          <w:szCs w:val="24"/>
        </w:rPr>
        <w:t xml:space="preserve">According to the main hypothesis of this research, further competencies were transferred to the supranational level and an extraordinary economic or economic-legal order was created by the elements of the European crisis management. But this transfer of power and this contrivance constitute a further need of democratization of the EU.</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35767">
    <w:multiLevelType w:val="hybridMultilevel"/>
    <w:lvl w:ilvl="0" w:tplc="62605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35767">
    <w:abstractNumId w:val="61535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090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