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MÁRIA TÁDICS</w:t>
            </w:r>
          </w:p>
          <w:p w:rsidR="00C275A3" w:rsidRDefault="00A96AEC" w:rsidP="00C275A3">
            <w:pPr>
              <w:pStyle w:val="Hallgatokepzes"/>
            </w:pPr>
            <w:r>
              <w:t>Political Science</w:t>
            </w:r>
            <w:r>
              <w:br/>
            </w:r>
            <w:r w:rsidR="00E77B23">
              <w:t>BA, 6. semester</w:t>
            </w:r>
          </w:p>
          <w:p w:rsidR="00C265CE" w:rsidRPr="009E5FF1" w:rsidRDefault="00E77B23" w:rsidP="009763E0">
            <w:pPr>
              <w:pStyle w:val="Hallgatointezmeny-kar"/>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Krisztina Arató PhD</w:t>
            </w:r>
          </w:p>
          <w:p w:rsidR="00DB4822" w:rsidRDefault="00DB4822" w:rsidP="009763E0">
            <w:pPr>
              <w:pStyle w:val="Konzulensektitulus"/>
            </w:pPr>
            <w:r w:rsidRPr="00DB4822">
              <w:t>associate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accelerator of the Central Eastern European regional cooperation: the Visegrad Group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Due to the recent economic and financial crisis, the deepening of the integration through the introduction of the fiscal union and the possibility of an enhanced cooperation between the Eurozone members according to the concept of multi-speed Europe were raised, what could lead to a renewed regional cooperation among the Central European EU member states out of the Eurozone, who want to avoid the devaluation of their EU membership. Although Slovakia already adopted the common currency, the consultation and decision of other Visegrad Group member states regarding to the introduction of the Euro can largely influence both the comparative benefits of the decision and the future of the V4. While calculating on the backwards of the cooperation, I would like to call the attention for its potentials. In this essay, following the description of the evolution of the concept of Central Europe, I focus on the development of the Visegrad Group, its cooperation and the current results of that in different policy fields and in the European politics.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304725">
    <w:multiLevelType w:val="hybridMultilevel"/>
    <w:lvl w:ilvl="0" w:tplc="486618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304725">
    <w:abstractNumId w:val="353047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57765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