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BALOGH</w:t>
            </w:r>
          </w:p>
          <w:p w:rsidR="00C275A3" w:rsidRDefault="00A96AEC" w:rsidP="00C275A3">
            <w:pPr>
              <w:pStyle w:val="Hallgatokepzes"/>
            </w:pPr>
            <w:r>
              <w:t>BA in Management and Business Administration</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Pál</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Waning interest rates! - The background of reduced base rates to close-to-zero levels and beyond in term of ECB's interest rate policy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interest rate policy; ECB; shadow interest rates; Taylor-rule; central bank credibility</w:t>
      </w:r>
      <w:r>
        <w:t xml:space="preserve"/>
      </w:r>
    </w:p>
    <w:p>
      <w:pPr>
        <w:widowControl w:val="on"/>
        <w:pBdr/>
        <w:spacing w:before="240" w:after="240" w:line="240" w:lineRule="auto"/>
        <w:ind w:left="0" w:right="0"/>
        <w:jc w:val="left"/>
      </w:pPr>
      <w:r>
        <w:rPr>
          <w:color w:val="000000"/>
          <w:sz w:val="24"/>
          <w:szCs w:val="24"/>
        </w:rPr>
        <w:t xml:space="preserve">The main purpose of this study is to show the reasons of the international trend of reduced base rates at near-zero level or at Zero Lower Bound (ZLB), bank rates reductions and particularly, to evaluate the ECB’s current interest-rate policy in consideration of international experiences.</w:t>
      </w:r>
      <w:r>
        <w:rPr>
          <w:color w:val="000000"/>
          <w:sz w:val="24"/>
          <w:szCs w:val="24"/>
        </w:rPr>
        <w:br/>
        <w:t xml:space="preserve">In the first part of the paper, as an introduction, having explained the monetary significance of the central bank rate, the limits of the efficiency of monetary policies, as a function of the base rate levels, are shown. In this section is shown the importance and the constraints of the benchmark function of the Taylor Rule, which offers a guideline to policymakers above zero.</w:t>
      </w:r>
      <w:r>
        <w:rPr>
          <w:color w:val="000000"/>
          <w:sz w:val="24"/>
          <w:szCs w:val="24"/>
        </w:rPr>
        <w:br/>
        <w:t xml:space="preserve">Then, the shadow-rate framework is introduced as a tool, which could help to evaluate the current monetary policy stance, if the base rate is constrained by ZLB. The conclusions will play a proper role at the review of the Fed monetary policy, which is counted as a role model between the Central Banks of the world.</w:t>
      </w:r>
      <w:r>
        <w:rPr>
          <w:color w:val="000000"/>
          <w:sz w:val="24"/>
          <w:szCs w:val="24"/>
        </w:rPr>
        <w:br/>
        <w:t xml:space="preserve">Two experiences of monetary policy with low interest rates, namely Japan and the USA are shortly pointed out. The experiences are concentrated on two category: Liquidity Trap and Crisis Management. These Conclusions are useful in many aspects to evaluate the current monetary stance of Eurozone.</w:t>
      </w:r>
      <w:r>
        <w:rPr>
          <w:color w:val="000000"/>
          <w:sz w:val="24"/>
          <w:szCs w:val="24"/>
        </w:rPr>
        <w:br/>
        <w:t xml:space="preserve">The section of the Eurozone has the purpose to implement the experiences and some theoretical consensus which offers probably new ways to think about the EMU. Firstly, EMU is introduced as a non-optimal monetary union, and the potential problems are pointed out, for instance the role of periphery member states. To demonstrate the particularity of the benchmark ineterest rates at effective lower bound, a specific example is demonstrated which occurred in June 2014: ECB cut its overnight-deposit rate by 10 basis points from zero to -0.10 %. Why is this bad for banks? What is the point? Reasons and arguments are explained. After this explanation, the process of the ECB's Crisis Management is reviewed, referring to aformentioned conclusions and thoughts. To identify the success-factors, it is need to be focused on expectations and preferences of market participants. Finally, recognizing the success-factors, efficiency of three planned ECB-measurement are forecasted using the theoretical framework of demand-side determination on monetary policy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23802">
    <w:multiLevelType w:val="hybridMultilevel"/>
    <w:lvl w:ilvl="0" w:tplc="38516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23802">
    <w:abstractNumId w:val="90523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547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