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BALÁZS</w:t>
            </w:r>
          </w:p>
          <w:p w:rsidR="00C275A3" w:rsidRDefault="00A96AEC" w:rsidP="00C275A3">
            <w:pPr>
              <w:pStyle w:val="Hallgatokepzes"/>
            </w:pPr>
            <w:r>
              <w:t>nemzetközi gazdálkodás alapszak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Dombi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Államadósság-leépítés a fejlett országokban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államadósság; GDP növekedés; adósságcsökkentés; pénzügyi elnyomás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gazdasági válság következtében a fejlett országok államadóssága ugrásszerű növekedésnek indult, és mára már megközelíti a második világháború befejezésekor tapasztalt szintet. Az államadósság és növekedés kapcsolatára vonatkozóan heves viták zajlottak az elmúlt években: egyes közgazdászok szerint általánosan kijelenthető, hogy magas államadósság nagymértékben rontja a növekedési kilátásokat, míg mások szerint ez a kapcsolat nem bizonyítható. Amit jelenleg biztosan tudunk az, hogy az államadósság és gazdasági növekedés viszonyát országspecifikus tényezők határozzák meg.</w:t>
      </w:r>
      <w:r>
        <w:rPr>
          <w:color w:val="000000"/>
          <w:sz w:val="24"/>
          <w:szCs w:val="24"/>
        </w:rPr>
        <w:br/>
        <w:t xml:space="preserve">Dolgozatomban arra a kérdésre keresem a választ, hogy hogyan lehetséges a világgazdaság működésének jelenlegi keretrendszerében az államadósságot jelentősen csökkenteni. Ehhez először sorra veszem az államadósság-csökkentés elméleti lehetőségeit, majd történelmi példák, esettanulmányok segítségével mutatok be sikeres és sikertelen próbálkozásokat az adósságleépítésre. Végül egy idősoros modell segítségével készítek előrejelzést az államadósság alakulásáról, a következő 15 évre vonatkozóan.</w:t>
      </w:r>
      <w:r>
        <w:rPr>
          <w:color w:val="000000"/>
          <w:sz w:val="24"/>
          <w:szCs w:val="24"/>
        </w:rPr>
        <w:br/>
        <w:t xml:space="preserve">Kutatásom során arra a következtetésre jutottam, hogy több fejlett országban is valós veszély az államadósság jelenlegi, magas szinten való beragadása, és elképzelhető, hogy ezeknek az országoknak az adósság átstrukturálás vagy a pénzügyi elnyomás eszközéhez kell nyúlniuk az államadósság jelentős mértékű csökkentése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69025">
    <w:multiLevelType w:val="hybridMultilevel"/>
    <w:lvl w:ilvl="0" w:tplc="42676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69025">
    <w:abstractNumId w:val="874690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648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