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SEREG</w:t>
            </w:r>
          </w:p>
          <w:p w:rsidR="00C275A3" w:rsidRDefault="00A96AEC" w:rsidP="00C275A3">
            <w:pPr>
              <w:pStyle w:val="Hallgatokepzes"/>
            </w:pPr>
            <w:r>
              <w:t>Finance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Marcell Dülk, PhD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End-of-period convention and expected asset life: Do two wrongs make a right?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present value; end-of-period convention; uncertain life; relative error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research aims to analyze the aggregate effect of possible errors related to the "textbook" method of present value calculation. Such errors could stem from, for example: the end-of-period convention (i.e., cash flows are aggregated to end of the period in which they occur); calculation according to expected life-span (i.e., negligence of the uncertainty of the asset's economic life); estimation errors in the expected cash flows and the discount rate, etc.</w:t>
      </w:r>
      <w:r>
        <w:rPr>
          <w:color w:val="000000"/>
          <w:sz w:val="24"/>
          <w:szCs w:val="24"/>
        </w:rPr>
        <w:br/>
        <w:t xml:space="preserve">In this work, I examine the aggregate effects of errors from the end-of-period convention and calculation according to the expected life only. The magnitude of errors depends on the cash flow pattern and the probability distribution of life of the asset, so I examine the combination that may be regarded as the most typical in practice: continuous exponential cash flow pattern with exponentially distributed life.</w:t>
      </w:r>
      <w:r>
        <w:rPr>
          <w:color w:val="000000"/>
          <w:sz w:val="24"/>
          <w:szCs w:val="24"/>
        </w:rPr>
        <w:br/>
        <w:t xml:space="preserve">Based on previous studies examining the errors separately, it can be established for the above-mentioned pattern - life combination that, for non-negative discount rates exceeding the growth rate, the end-of-period convention leads to underestimation, while the calculation according to expected life leads to overestimation. This is the motivation of this research; that is, it is possible that the two errors result in a more accurate approximation - considering the absolute value of the error - compared to making only one of the errors.</w:t>
      </w:r>
      <w:r>
        <w:rPr>
          <w:color w:val="000000"/>
          <w:sz w:val="24"/>
          <w:szCs w:val="24"/>
        </w:rPr>
        <w:br/>
        <w:t xml:space="preserve">First, I analyze when the "textbook" method is more accurate than the calculation until the expected life but according to the correct cash flow pattern. Then, I examine if the accuracy of the "textbook" method can be improved by weighting the end-of-period cash flows by the period ends' probability of occurrence associated with the life uncertainty, thereby approximately taking into account such uncertainty.</w:t>
      </w:r>
      <w:r>
        <w:rPr>
          <w:color w:val="000000"/>
          <w:sz w:val="24"/>
          <w:szCs w:val="24"/>
        </w:rPr>
        <w:br/>
        <w:t xml:space="preserve">Based on the results, comparing the accuracy of the above three approaches, I conclude that in a large number of typical realistic cases it is not worth to take either the correct cash flow pattern or the life uncertainty into account beyond the "textbook" method.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48830">
    <w:multiLevelType w:val="hybridMultilevel"/>
    <w:lvl w:ilvl="0" w:tplc="34661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48830">
    <w:abstractNumId w:val="136488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041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