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REGULY ÁGOSTON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Mosolygó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elemző,  Államadósság Kezelő Központ Zrt.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Ormos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Kockázatmentes hozam? A magyar zéró-kupon hozamgörbe illesztése és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zéró-kupon, hozamgörbe, globális optimalizáció, általánosított score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zéró-kupon hozamgörbe modellezés keretében 22 illesztési eljárást alkottam meg. Ezek segítségével a magyar állampapírok árjegyzéseihez optimalizálva végeztem el a zérókupon hozamgörbe becsléseket. Az elkészített illesztéseket a szakirodalomban használatos szempontok felhasználásával idősorosan összehasonlítottam és értékeltem.</w:t>
      </w:r>
      <w:r>
        <w:rPr>
          <w:color w:val="000000"/>
          <w:sz w:val="24"/>
          <w:szCs w:val="24"/>
        </w:rPr>
        <w:br/>
        <w:t xml:space="preserve">A fenti hozamgörbe modellezési feladat egy nem-lineáris, alulhatározott probléma, melynek megoldása során a kezdeti értékek megadása alapvetően befolyásolja az illesztés eredményét. A tanulmányban egy általam fejlesztett robosztus tanuló algoritmust használok a kezdeti érték megadására. Az illesztési feladat megoldása során alkalmazott optimalizációs algoritmusokban, a különféle szakirodalomban elterjedt függvényformulákból 4 polinomot használok fel, amelyek a Spline, illetve Nelson-Siegel-Svensson modellcsaládokba tartoznak.</w:t>
      </w:r>
      <w:r>
        <w:rPr>
          <w:color w:val="000000"/>
          <w:sz w:val="24"/>
          <w:szCs w:val="24"/>
        </w:rPr>
        <w:br/>
        <w:t xml:space="preserve">A tanulmány végén a kapott illesztési eredményekből a Nelson-Siegel polinom Genetikus Algoritmussal illesztett paramétereken végzek idősoros elemzést, annak ellenőrzésére, hogy teljesül-e a kezdetben kitűzött idősoros értelmezhetőségi kritérium. Az általánosított autoregresszív score modellt (GAS) felhasználva interpretálható modellt kaptam az egész hozamgörbe idősoros kockázatainak felmérésére.</w:t>
      </w:r>
      <w:r>
        <w:rPr>
          <w:color w:val="000000"/>
          <w:sz w:val="24"/>
          <w:szCs w:val="24"/>
        </w:rPr>
        <w:br/>
        <w:t xml:space="preserve">Az eredmények rámutatnak arra is, hogy a látszólag kockázatmenetesnek tekintett állampapírok zéró-kupon hozamgörbéjében mind illesztési, mind idősoros kockázatok is feltárhatóak.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33867">
    <w:multiLevelType w:val="hybridMultilevel"/>
    <w:lvl w:ilvl="0" w:tplc="51233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33867">
    <w:abstractNumId w:val="71033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181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