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KISS</w:t>
            </w:r>
          </w:p>
          <w:p w:rsidR="00C275A3" w:rsidRDefault="00A96AEC" w:rsidP="00C275A3">
            <w:pPr>
              <w:pStyle w:val="Hallgatokepzes"/>
            </w:pPr>
            <w:r>
              <w:t>Psychology</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Péter Hámornik</w:t>
            </w:r>
          </w:p>
          <w:p w:rsidR="00DB4822" w:rsidRDefault="00DB4822" w:rsidP="00E11062">
            <w:pPr>
              <w:pStyle w:val="Konzulensek"/>
            </w:pPr>
            <w:r w:rsidRPr="00DB4822">
              <w:t>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virtual collaboration area and assertiveness on task performance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Taking advantage of today’s technology and internet oriented world, more and more people work remotely, sometimes doing so in the virtual space, online. There are numerous softwares available to help us be more productive in our job. Many of those provide a virtual space for their users, so that we can coordinate our meetings and conferences with others from all over the world.</w:t>
      </w:r>
      <w:r>
        <w:rPr>
          <w:color w:val="000000"/>
          <w:sz w:val="24"/>
          <w:szCs w:val="24"/>
        </w:rPr>
        <w:br/>
        <w:t xml:space="preserve">In this paper I’m analyzing the human social interactions in this new virtual communicational space. My goal is to explore and investigate the verbal and complementary non-verbal characteristics of the assertive communication described by Thomas Gordon in the virtual space. My hypothesis is that the assertively communicating groups of two perform more efficiently during the collaborative tasks in the virtual space than those who use different strategies.</w:t>
      </w:r>
      <w:r>
        <w:rPr>
          <w:color w:val="000000"/>
          <w:sz w:val="24"/>
          <w:szCs w:val="24"/>
        </w:rPr>
        <w:br/>
        <w:t xml:space="preserve">The research was conducted in the VirCA (3D Virtual Collaboration Area), and includes a total of 12 analyses of dialogue during the task. In completion of that, I measured the participants’ prior experiences, and subjective impressions of the experiment. In my analysis I compare the „assertiveness frequency numbers” to the „efficiency index numbers” of the objective (time and accuracy of task performance).</w:t>
      </w:r>
      <w:r>
        <w:rPr>
          <w:color w:val="000000"/>
          <w:sz w:val="24"/>
          <w:szCs w:val="24"/>
        </w:rPr>
        <w:br/>
        <w:t xml:space="preserve">The results may provide a solid basis to gain better insight into the peculiarities of the virtual collaboration which is becoming very popular. The conclusions may also bring guidance on how to use the „space” more efficiently, making it more successful and productive to work in this shared space and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79695">
    <w:multiLevelType w:val="hybridMultilevel"/>
    <w:lvl w:ilvl="0" w:tplc="98064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79695">
    <w:abstractNumId w:val="55479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00796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