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BELLA</w:t>
            </w:r>
          </w:p>
          <w:p w:rsidR="00C275A3" w:rsidRDefault="00A96AEC" w:rsidP="00C275A3">
            <w:pPr>
              <w:pStyle w:val="Hallgatokepzes"/>
            </w:pPr>
            <w:r>
              <w:t>Work- and Organizational Psychology</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Kun Ágota PhD.</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sport results on the nation- and self-evaluation of spectators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Considering the proven effects of sport on national identity (Evans &amp; Kelley, 2002; Dóczi, 2011) and the ambivalent Hungarian auto-stereotype experienced in the recent years, the aim of my study was to examine the impacts of sport results on spectators. To examine the effects of sport successes and failures I relied on Tajfel's social identity theory (Tajfel &amp; Turner, 1979) and some researches based on it. I studied the increasing and reducing effects of sport results on the spectator’s national identification in the light of BIRG (Cialdini et al., 1976) and CORF (Snyder et al., 1986) theories. For the analysis of the spectator’s self-esteem I built on a research about self-evaluation effects of interpersonal versus intergroup social comparison, which was conducted by Brewer and Weber in 1994.</w:t>
      </w:r>
    </w:p>
    <w:p>
      <w:pPr>
        <w:widowControl w:val="on"/>
        <w:pBdr/>
        <w:spacing w:before="240" w:after="240" w:line="240" w:lineRule="auto"/>
        <w:ind w:left="0" w:right="0"/>
        <w:jc w:val="left"/>
      </w:pPr>
      <w:r>
        <w:rPr>
          <w:color w:val="000000"/>
          <w:sz w:val="24"/>
          <w:szCs w:val="24"/>
        </w:rPr>
        <w:t xml:space="preserve">Based on scientific literature I hypothesized that the success of Hungarian athletes would improve the nation evaluation and self-perception as well as increase national identification, while failures would lead to distancing from the nation, more negative evaluation of it and even lower self-esteem. To test my hypotheses I performed an experiment on a sample of high school students (n=87). I divided the participants into three groups and after the completion of Collective Self-Esteem Scale (Luthanen &amp; Crocker, 1992) three different handball match parts were screened – according to the group membership – for them. The positively primed group watched some minutes of a winning, and the negatively primed group some minutes of a losing international match, while to the control group a short part of a well-balanced match between two domestic teams was presented. After watching the short videos, the participants evaluated themselves and Hungarian nation on semantic differential scales.</w:t>
      </w:r>
    </w:p>
    <w:p>
      <w:pPr>
        <w:widowControl w:val="on"/>
        <w:pBdr/>
        <w:spacing w:before="240" w:after="240" w:line="240" w:lineRule="auto"/>
        <w:ind w:left="0" w:right="0"/>
        <w:jc w:val="left"/>
      </w:pPr>
      <w:r>
        <w:rPr>
          <w:color w:val="000000"/>
          <w:sz w:val="24"/>
          <w:szCs w:val="24"/>
        </w:rPr>
        <w:t xml:space="preserve">To test my hypotheses I used one-way and two-way ANOVAs (in the latter ones collective self-esteem was chosen to be the second independent variable). I could partly verify two of my hypotheses: I found significant difference in auto-stereotype between the positively primed and the control group in the low collective self-esteem group and in distancing between negatively primed and control group in the high collective self-esteem group. However, the levels of self-esteem and self-efficacy – contradicting my two other hypotheses – were significantly higher compared to the control group not only in the positively primed, but also in the negatively primed group.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75166">
    <w:multiLevelType w:val="hybridMultilevel"/>
    <w:lvl w:ilvl="0" w:tplc="40140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75166">
    <w:abstractNumId w:val="25175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5858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