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DÁNIEL VARGA</w:t>
            </w:r>
          </w:p>
          <w:p w:rsidR="00C275A3" w:rsidRDefault="00A96AEC" w:rsidP="00C275A3">
            <w:pPr>
              <w:pStyle w:val="Hallgatokepzes"/>
            </w:pPr>
            <w:r>
              <w:t>Finance</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Éva Margit Karai</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cash demand on the cash production – based on the complex analysis of the Diósgyőri Papírgyár Ltd.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cash; cash demand; cash production; banknote; annual report</w:t>
      </w:r>
      <w:r>
        <w:t xml:space="preserve"/>
      </w:r>
    </w:p>
    <w:p>
      <w:pPr>
        <w:widowControl w:val="on"/>
        <w:pBdr/>
        <w:spacing w:before="240" w:after="240" w:line="240" w:lineRule="auto"/>
        <w:ind w:left="0" w:right="0"/>
        <w:jc w:val="left"/>
      </w:pPr>
      <w:r>
        <w:rPr>
          <w:color w:val="000000"/>
          <w:sz w:val="24"/>
          <w:szCs w:val="24"/>
        </w:rPr>
        <w:t xml:space="preserve">The main theme of this project is cash, as an essential pillar of our market economy. My research brings into focus the cash demand and the factors which influence this demand, especially in Hungary. My other aim is to find a connection between the demand and the productivity of a company which participates in the cash production. I assume there must be coherence between them.</w:t>
      </w:r>
      <w:r>
        <w:rPr>
          <w:color w:val="000000"/>
          <w:sz w:val="24"/>
          <w:szCs w:val="24"/>
        </w:rPr>
        <w:br/>
        <w:t xml:space="preserve">In the research I realize that Hungary has much more cash stock than other countries with similar economical level. Moreover, it is permanently increasing, and exceeding the economical growth, therefore it presupposes the blooming of the cash production branch. I testify this assumption by analysing the annual reports of the Diósgyőri Papírgyár Ltd., which is the obligated company in the banknote paper production.</w:t>
      </w:r>
      <w:r>
        <w:rPr>
          <w:color w:val="000000"/>
          <w:sz w:val="24"/>
          <w:szCs w:val="24"/>
        </w:rPr>
        <w:br/>
        <w:t xml:space="preserve">The analysis results in a completely different output compared to what I have expected. The economical indexes and indicators show a regressive period instead of blooming, considering the net sales, the EBIT, together with the total assets. As a consequence of my research I make a statement that there is no proportionality between the increased cash demand and the enlargement of the cash production. The difference mainly comes from the increased high denominated banknote units over the low denominated ones.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49498">
    <w:multiLevelType w:val="hybridMultilevel"/>
    <w:lvl w:ilvl="0" w:tplc="959772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49498">
    <w:abstractNumId w:val="560494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28432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