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LÁSZLÓ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Karai Éva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MVM Paksi Atomerőmű Zrt. számviteli elemzése és versenyképessége a hazai nagyerőművek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atomerőmű; Paks; versenyképesség; számvitel;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Országgyűlés 25/2009. (IV.2.)-es határozatának hatására készült: az Országgyűlés hozzájárult a Paksi Atomerőmű telephelyén új blokkok létesítését előkészítő tevékenység megkezdéséhez. A dolgozat kizárólag nyilvánosan elérhető információk felhasználásával készült.</w:t>
      </w:r>
      <w:r>
        <w:rPr>
          <w:color w:val="000000"/>
          <w:sz w:val="24"/>
          <w:szCs w:val="24"/>
        </w:rPr>
        <w:br/>
        <w:t xml:space="preserve">A tanulmány első része a Paksi Atomerőmű jövedelmi helyzetének elemzése céljából készült, jövedelmezőségi és megtérülési mutatók felhasználásával. Az elemzés 7 üzleti évet felölelve, 2006-tól 2012-ig valósult meg. Megállapítottam, hogy a jövedelmi helyzetet döntő mértékben az értékesített villamos áram kilówattóránkénti nyeresége befolyásolja, illetve, hogy a termeléshez szükséges nukleáris fűtőanyag rendkívül kiszámítható áron szerezhető be.</w:t>
      </w:r>
      <w:r>
        <w:rPr>
          <w:color w:val="000000"/>
          <w:sz w:val="24"/>
          <w:szCs w:val="24"/>
        </w:rPr>
        <w:br/>
        <w:t xml:space="preserve">A dolgozat második részében a vállalat pénzügyi helyzetének elemzése valósult meg, szintén 2006-től 2012-ig bezárólag. Ennek alakulását a likviditási mutatók számítása mellett az egy részvényre jutó osztalékfizetések számításával mutattam be. Eredményképp kijelenthető, hogy a tulajdonosok szemszögéből a vállalat évről évre jövedelmezőbbnek bizonyul.</w:t>
      </w:r>
      <w:r>
        <w:rPr>
          <w:color w:val="000000"/>
          <w:sz w:val="24"/>
          <w:szCs w:val="24"/>
        </w:rPr>
        <w:br/>
        <w:t xml:space="preserve">Az értekezés harmadik részével az MVM Paksi Atomerőmű Zrt. vagyoni helyzetének alakulását, s annak okait mutatom be 2006 és 2012 között. A vagyoni helyzet alakulását vertikális és horizontális mutatószámokon keresztül tárom fel. Konstatálható, hogy a cég eszközstruktúrájában a vizsgált időszak alatt a forgóeszközök túlsúlyba kerültek. Ennek oka, hogy a kevés beruházás miatt a tárgyi eszközök állománya évről évre csökken az amortizáció miatt, illetve a készletek és követelések dinamikusan emelkednek. Ebben nagy szerepe van a megtermelt villamosenergia-mennyiség emelkedésének.</w:t>
      </w:r>
      <w:r>
        <w:rPr>
          <w:color w:val="000000"/>
          <w:sz w:val="24"/>
          <w:szCs w:val="24"/>
        </w:rPr>
        <w:br/>
        <w:t xml:space="preserve">Munkám negyedik része a Paksi Atomerőmű hazai nagyerőművek körében elvégzett termelési és jövedelmi versenyképességét mutatja be, 2010 és 2012 között. A termelési versenyképesség mutatószáma a vállalatok által értékesített villamos áramra vetített üzemi költség, mely az előállítási költséget reprezentálja. A jövedelmi versenyképesség mutatószámát az eladási ár és előállítási költség különbözeteként előállított kilówattóránkénti értékesítési nyereséget jelentő érték adja. A vizsgálatok alapján kijelenthető, hogy a vizsgálatba bevont nagyerőművek egyike sem képes olcsóbban áramot előállítani a Paksi Atomerőműnél.</w:t>
      </w:r>
      <w:r>
        <w:rPr>
          <w:color w:val="000000"/>
          <w:sz w:val="24"/>
          <w:szCs w:val="24"/>
        </w:rPr>
        <w:br/>
        <w:t xml:space="preserve">Dolgozatommal célom, hogy felfedjem, milyen helyet foglal el a Paksi Atomerőmű a hazai nagyerőművek által alkotott összképben, s a további következtetések levonását a bővítést illetően már az olvasóra bízom.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458283">
    <w:multiLevelType w:val="hybridMultilevel"/>
    <w:lvl w:ilvl="0" w:tplc="63357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458283">
    <w:abstractNumId w:val="31458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865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