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KONCSAG KATALIN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Karsai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büntethetőségi korhatár leszállításának kérdése, tekintettel a német szabályozásra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gyermekek a büntetendő cselekményeket fiatalabb korban, erőszakosabb módon követik el, mint korábban. Ez az az ok, ami a jogalkotót változtatásra sarkallta. Dolgozatomban végigkísérem a kodifikáció során felmerült javaslatokat, az új Btk-t bíráló szakmai kritikákat, illetve a dolgozat egy részében összehasonlító elemzést végzek a német kodifikációs munkálatok eredményeivel. Ezt követően vontam le az alábbi következtetéseimet.</w:t>
      </w:r>
      <w:r>
        <w:rPr>
          <w:color w:val="000000"/>
          <w:sz w:val="24"/>
          <w:szCs w:val="24"/>
        </w:rPr>
        <w:br/>
        <w:t xml:space="preserve">A gyermekek életkori sajátosságaiknál fogva különleges elbánást igényelnek a jog minden területén. Ezért ha jogszabály módosítására, új jogszabály meghozatalára kerül sor, minden esetben figyelembe kell venni a gyermekbarát igazságszolgáltatás, az uniós és a nemzetközi elvárások által támasztott követelményeket. Kutatásom során azt vizsgáltam, hogy a 2012. évi C. törvény megalkotásakor a jogalkotó mennyiben tett eleget ezeknek a kritériumoknak, illetve hogy mennyiben felel meg az új törvény a jogbiztonság és a normavilágosság követelményeinek. Dolgozatomban központi szerepet kap ezen kívül azon jogszabályhely-változások elemzése, melyek mellett nem lehet elmenni kritika nélkül. Így említhető többek között az, hogy a gyermekkor megalkotásakor a jogalkotó nem volt tekintettel a fiatalkorú fogalmára, a belátási képesség vizsgálatának körülményeire vonatkozóan nem ad egyértelmű iránymutatást, a taxációban szereplő bűncselekmények meghatározása pedig további jogalkalmazási problémákat vet fel. A téma aktualitását nem csupán a törvény másfél éve fennálló hatálya adja, hanem az is, hogy valamennyi szakirodalom, gyermekvédő és jogalkalmazó negatív kritikát fogalmaz meg a jogszabály módosításával kapcsolatban. Ennek ellenére a jogalkotóban fel sem merült, hogy az új törvényt módosítsa vagy, hogy más, büntetőjogon kívüli eszközök bevezetését szorgalmazza.</w:t>
      </w:r>
      <w:r>
        <w:rPr>
          <w:color w:val="000000"/>
          <w:sz w:val="24"/>
          <w:szCs w:val="24"/>
        </w:rPr>
        <w:br/>
        <w:t xml:space="preserve">Pályamunkámban a jogirodalom és a saját álláspontom mutatom be a büntethetőségi korhatár leszállításáról, rámutatva azon kardinális kérdésekre, melyek mindenképpen változtatásra szorulnak. Javaslatomban kitérek a gyermekek által elkövetett büntetendő cselekmények megelőzésének egy esetleges eszközére, illetve más büntetőjogi és büntetőjogon kívül javaslatok beemelésére. Ehhez a hazai szakirodalom állásfoglalásain túl segítségül hívom a német jogalkotók válaszát a ’90-es években felmerülő jogalkotási kérdésekre.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75991">
    <w:multiLevelType w:val="hybridMultilevel"/>
    <w:lvl w:ilvl="0" w:tplc="24070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75991">
    <w:abstractNumId w:val="95175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873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