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KONCSAG</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Krisztina Karsai</w:t>
            </w:r>
          </w:p>
          <w:p w:rsidR="00DB4822" w:rsidRDefault="00DB4822" w:rsidP="009763E0">
            <w:pPr>
              <w:pStyle w:val="Konzulensektitulus"/>
            </w:pPr>
            <w:r w:rsidRPr="00DB4822">
              <w:t>professor, head of department,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reduction of the age limit of excuse, with regard to the German criminal law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Children commit offences more violently and at younger ages than in the past. This is the reason why the legislature decided to change the provisions on minority. In my paper, I review the bills proposed during the codification process and critical views on the new Hungarian Criminal Code. I make comparisons with the results of the German codification process. I have reached the following conclusion.</w:t>
      </w:r>
      <w:r>
        <w:rPr>
          <w:color w:val="000000"/>
          <w:sz w:val="24"/>
          <w:szCs w:val="24"/>
        </w:rPr>
        <w:br/>
        <w:t xml:space="preserve">Children, with respect to the characteristics of their age-group, require special treatment in every field of law. Each time a provision gets changed, the requirements of child-friendly justice and international treaties shall indispensably be met, and European Union guidelines shall be followed. In my paper, I have examined if the new Criminal Code complies with these requirements and with the doctrine of legal certainty and the clarity of norms. Furthermore, I have analyzed the newest amendments criticized in the scientific literature. First, the legislature paid no regard to the definition of juveniles when defining of minority. Second, the legislature did not give any guidance to the law practitioners on how to assess the ability of understanding. Finally, the taxation of offences can raise more difficulties in the application of the law. The topic of my paper is current not only due to the Criminal Code having entered into force one and a half years ago, but also due to the fact that the Code is sharply criticized by legal scholars, child protection organizations and law practitioners. Despite all this criticism, the legislature appears to be unwilling to introduce statutory amendment or other tools of protection and prevention beyond the scope of criminal law.</w:t>
      </w:r>
      <w:r>
        <w:rPr>
          <w:color w:val="000000"/>
          <w:sz w:val="24"/>
          <w:szCs w:val="24"/>
        </w:rPr>
        <w:br/>
        <w:t xml:space="preserve">In my paper, I would like to introduce the opinion of the scientific literature and my own point of view about the most cardinal aspects of the reduction of the age limit of excuse. As a recommendation, I describe a potential method of prevention and propose other solutions within the scope of criminal law and beyond criminal law. Beside the opinion in Hungarian literature, I rely on German codifications, which was faced with a similar problem in the 1990s.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61399">
    <w:multiLevelType w:val="hybridMultilevel"/>
    <w:lvl w:ilvl="0" w:tplc="41985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61399">
    <w:abstractNumId w:val="48361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560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