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MÁROK SOMA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Szomora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Karsai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"három csapás" a magyar büntetőjogban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témája a Btk-ban szereplő ún. „három csapás” szabályok. E szankciók – Egyesült államok-béli és szlovák mintára – 2010-ben kerültek be a Büntető Törvénykönyvbe és jelentősen szigorították az erőszakos többszörös visszaesők és a bűnhalmazat egyes eseteiben alkalmazandó szankciókat.</w:t>
      </w:r>
      <w:r>
        <w:rPr>
          <w:color w:val="000000"/>
          <w:sz w:val="24"/>
          <w:szCs w:val="24"/>
        </w:rPr>
        <w:br/>
        <w:t xml:space="preserve">Dolgozatom első fő részében röviden áttekintem, hogy milyen jogi eszközöket próbált alkalmazni a visszaesőkkel szemben a történelem során. Ezt követően felvázolom a „három csapás” szabályozását a régi és a hatályos Btk-ban.</w:t>
      </w:r>
      <w:r>
        <w:rPr>
          <w:color w:val="000000"/>
          <w:sz w:val="24"/>
          <w:szCs w:val="24"/>
        </w:rPr>
        <w:br/>
        <w:t xml:space="preserve">Ezt követően megvizsgálom, hogy ezek a kirívóan súlyos szankciók – így különösen a kötelezően alkalmazandó életfogytig tartó szabadságvesztés – összeegyeztethetőek-e az Alaptörvénnyel és a magyar szankciórendszer alapelveivel. E vizsgálat alapjául mértékadó jogtudósok, gyakorlati szakemberek véleményei valamint az Alkotmánybíróság releváns gyakorlata szolgál, különösen a halmazati „három csapást” megsemmisítő határozat. Szintén e részben vizsgálom az Emberi Jogok Európai Bíróságának gyakorlatát a tényleges életfogytig tartó szabadságvesztésről. Röviden kitérek arra is, hogy ez EJEB gyakorlata milyen lépésekre sarkallta a jogalkotót e téren.</w:t>
      </w:r>
      <w:r>
        <w:rPr>
          <w:color w:val="000000"/>
          <w:sz w:val="24"/>
          <w:szCs w:val="24"/>
        </w:rPr>
        <w:br/>
        <w:t xml:space="preserve">Dolgozatom utolsó fő részében mintegy 40 releváns jogesetet elemzek a magyar joggyakorlatból. Ennek során a „három csapás” szabályok alkalmazása során felmerülő problémás pontokra, ellentmondásokra kívánok rámutatni.</w:t>
      </w:r>
      <w:r>
        <w:rPr>
          <w:color w:val="000000"/>
          <w:sz w:val="24"/>
          <w:szCs w:val="24"/>
        </w:rPr>
        <w:br/>
        <w:t xml:space="preserve">Végül összegzem az elmondottakat ezen ellentmondásos jogintézménnyel kapcsolatban, illetve megfogalmazok egy javaslatot a jogalkotó számára, amellyel véleményem szerint egyszerre lennének elérhetőek a „három csapás” bevezetésével kitűzött büntetőpolitikai célkitűzések, valamint a szabályozás alkotmányossága.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091484">
    <w:multiLevelType w:val="hybridMultilevel"/>
    <w:lvl w:ilvl="0" w:tplc="456136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091484">
    <w:abstractNumId w:val="63091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156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