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CSABA</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Szomora Zsolt</w:t>
            </w:r>
          </w:p>
          <w:p w:rsidR="00DB4822" w:rsidRDefault="00DB4822" w:rsidP="00E11062">
            <w:pPr>
              <w:pStyle w:val="Konzulensek"/>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gyermekprostitúció minősítési "rendszerének" kritikája az európai uniós követelmények és a jogi tárgy fényében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2012. évi új büntető kódex egyik legjelentősebb változásokon átesett része a nemi élet szabadsága és a nemi erkölcs elleni bűncselekmények címet viselő XIX. fejezete. E fejezet mind formai, mind tartalmi szempontból jelentős újraszabályozáson ment keresztül, amely kiterjedt az e fejezetben elhelyezett gyermekprostitúciós bűncselekményekre is.</w:t>
      </w:r>
      <w:r>
        <w:rPr>
          <w:color w:val="000000"/>
          <w:sz w:val="24"/>
          <w:szCs w:val="24"/>
        </w:rPr>
        <w:br/>
        <w:t xml:space="preserve">A gyermekprostitúció jelenségének büntetőjogi eszközökkel történő represszióját számos nemzetközi jogi dokumentum előírja, így nem meglepő módon az Európai Unióban is megjelent a tagállamok által ezzel kapcsolatosan alkotott büntetőjogi normák harmonizációjának, és – ennek érdekében – a kérdéskör uniós jogi szabályozásának igénye.</w:t>
      </w:r>
      <w:r>
        <w:rPr>
          <w:color w:val="000000"/>
          <w:sz w:val="24"/>
          <w:szCs w:val="24"/>
        </w:rPr>
        <w:br/>
        <w:t xml:space="preserve">A gyermekprostitúcióra vonatkozó európai uniós jogi rendelkezéseket a 2004/68/IB kerethatározatot felváltó 2011/93/EU irányelv tartalmazza, amelynek átültetésére a tagállamok 2013. december 18-ig voltak kötelesek. A magyar jogalkotó e kötelezettségének az új Btk.-ban szereplő összesen nyolc tényállással kívánt eleget tenni. A futtató cselekményeit kriminalizáló normaszövegeket a kodifikátor a felnőttek prostitúciójával kapcsolatos magatartások pönalizálását szolgáló diszpozíciók alapul vételével alakított ki, egyes esetekben kitágítva és előre hozva az inkriminált cselekmények körét. A dolgozatomban foglalkozom a gyermek szexuális szolgáltatását igénybe vevő személy cselekményét büntetéssel fenyegető régi Btk. 202/A. § szerinti normaszöveget felváltó, 203. § (2) bekezdésben szereplő deliktummal is, amely az ügyféli kör cselekményeit fenyegeti büntetéssel.</w:t>
      </w:r>
      <w:r>
        <w:rPr>
          <w:color w:val="000000"/>
          <w:sz w:val="24"/>
          <w:szCs w:val="24"/>
        </w:rPr>
        <w:br/>
        <w:t xml:space="preserve">A dolgozatom célja az, hogy rávilágítson arra, hogy egy nemi erkölcs védelmét szolgáló konstrukció modelljére kialakított minősítési rendszer mennyiben felel meg az Európai Unió kötelező erejű jogalkotási aktusa által támasztott követelményeknek, illetve hogy az mennyire alkalmas a jogalkotó által kitűzött cél megvalósítására és a bűncselekmények jogi tárgyának védelmére. E problematikák vizsgálatának eredményei alapján pedig de lege ferenda javaslatokat igyekszem megfogalmazni a gyermekprostitúció minősítési rendszerének átalakításához.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52145">
    <w:multiLevelType w:val="hybridMultilevel"/>
    <w:lvl w:ilvl="0" w:tplc="44387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52145">
    <w:abstractNumId w:val="18352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5528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