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TAMÁS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Critics on the statutory rules on child prostitution in the reflection of the European Union’s requirements and the interest to be protected by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Chapter XIX of the Criminal Code on „offences against sexual freedom and sexual morality”, which was affected by the most changes. The chapter has gone through significant formal and substantial changes, which have been extended to the offences connected to child prostitution.</w:t>
      </w:r>
      <w:r>
        <w:rPr>
          <w:color w:val="000000"/>
          <w:sz w:val="24"/>
          <w:szCs w:val="24"/>
        </w:rPr>
        <w:br/>
        <w:t xml:space="preserve">There are several international documents, which prescribe the repression of child prostitution by the means of criminal law, hence, not surprisingly, the demand has also appeared in the European Union to harmonise the criminal regulations of the member states, and – in order to achieve this – to regulate child prostitution in the EU law. We can find provisions on child prostitution in the 2011/93/EU directive, which replaced the 2004/68/JHA council framework decision and obligated the member states to implement its regulations by 18 December 2013. The Hungarian legislature has tried to fulfil this obligation by enacting eight criminal offences in the new Criminal Code. Most of the offences aiming to provide penalty for the panderer’s act, was created on the basis of the offence connected to adults’ prostitution. In my paper, I also deal with the offence under Art. 203 CC, which replaced Art. 202/A of the former CC and the punter of a child’s sexual service with penalty.</w:t>
      </w:r>
      <w:r>
        <w:rPr>
          <w:color w:val="000000"/>
          <w:sz w:val="24"/>
          <w:szCs w:val="24"/>
        </w:rPr>
        <w:br/>
        <w:t xml:space="preserve">In my paper, I aim to reveal the suitability of a sexual morality-based statutory regulation system to correspond to the requirements described by the European Union, and the suitability to reach the legislature’s goals and the effective protection of the legally protected interests.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66041">
    <w:multiLevelType w:val="hybridMultilevel"/>
    <w:lvl w:ilvl="0" w:tplc="34763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66041">
    <w:abstractNumId w:val="368660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899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