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TAPODI PÉTER ÁDÁM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 Andor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Szomora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jogos védelem körébe tartozó elhárító cselekmény dogmatikai kérdéseiről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pályamunka központi magvát a legtöbbet hivatkozott büntethetőséget kizáró ok elhárító cselekménye körében bekövetkező jogforrási, illetve kvázi jogforrási változások képezik, melyek eddig nem tapasztalt mértékben kívánnak változtatást eszközölni a vizsgált jogintézmény dogmatikai karakterén. Ennek fényében dolgozatomban a klasszikus jogos védelemhez, illetve az újonnan bevezetett szituációs jogos védelemhez köthető problémás eseteket veszem górcső alá, mind a törvényi szabályozás, mind a Kúria új jogegységi határozata szempontjából.</w:t>
      </w:r>
      <w:r>
        <w:rPr>
          <w:color w:val="000000"/>
          <w:sz w:val="24"/>
          <w:szCs w:val="24"/>
        </w:rPr>
        <w:br/>
        <w:t xml:space="preserve">Az előbbi célkitűzéshez igazodva kiindulási pontként fontosnak tartom – különös tekintettel az Alaptörvény jogos önvédelemre vonatkozó rendelkezésére – ismertetni a jogos védelem rendszerbeli helyét, majd ezt követően a Kúria 4/2013 Büntető Jogegységi Határozata előtti jogirodalmi, illetve gyakorlati nézőpontok összegzését a szükségesség-arányosság kérdéskörében. E körben kiemelt figyelmet fordítok a ma is kérdéseket felvető védekezési szándékra, ugyanis elemezem annak megjelenését, alkalmazását a judikatúrában, illetve reflektálok az azt elismerő szerző álláspontjára.</w:t>
      </w:r>
      <w:r>
        <w:rPr>
          <w:color w:val="000000"/>
          <w:sz w:val="24"/>
          <w:szCs w:val="24"/>
        </w:rPr>
        <w:br/>
        <w:t xml:space="preserve">Az előzmények után az új jogegységi határozat elhárító cselekményre tett megállapításaiból vázolok fel interpretációs lehetőségeket, kifejezésre juttatva annak fogalmi ellentmondásait, néhol túl absztrakt iránymutatásait. Ugyancsak a klasszikus jogos védelem körében kitérek a még büntetlenséget jelentő excessus szabályozásának alakulására, valamint értékelem a törvény adta lehetőségek, illetve a miniszteri indokolás összeférhetetlenségéből származó anomáliát.</w:t>
      </w:r>
      <w:r>
        <w:rPr>
          <w:color w:val="000000"/>
          <w:sz w:val="24"/>
          <w:szCs w:val="24"/>
        </w:rPr>
        <w:br/>
        <w:t xml:space="preserve">Követve a törvényi szabályozás logikáját, dolgozatom utolsó érdemi részében került elhelyezésre a szituációs jogos védelem, mint a túllépés megállapíthatóságának negatív feltétele. Ezzel összefüggésben elsőnek kifejtem álláspontom a formális szabályozási technika, valamint a szabályozás tartalmi oldala tekintetében, összpontosítva a vélelemre és a fikcióra vonatkozó ismérvek keveredésére. Az egyes esetkörök (személy elleni jogtalan támadás, lakásba történő jogtalan behatolás, bekerített helyre történő jogtalan behatolás) elemzésénél az eddigi minimális gyakorlati relevancia miatt, - kerülve az átfedéseket - általam kitalált, a való életben is elképzelhető helyzetekkel igyekszem érzékeltetni a jogintézmény által generált visszásságokat.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42210">
    <w:multiLevelType w:val="hybridMultilevel"/>
    <w:lvl w:ilvl="0" w:tplc="72837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42210">
    <w:abstractNumId w:val="864422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3348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