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ÁDÁM TAPODI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Andor Gál</w:t>
            </w:r>
          </w:p>
          <w:p w:rsidR="00DB4822" w:rsidRDefault="00DB4822" w:rsidP="00E11062">
            <w:pPr>
              <w:pStyle w:val="Konzulensek"/>
            </w:pPr>
            <w:r w:rsidRPr="00DB4822">
              <w:t>Junior Lecturer, SZTE ÁJK</w:t>
            </w:r>
          </w:p>
        </w:tc>
      </w:tr>
      <w:tr w:rsidR="00DB4822" w:rsidTr="00DB4822">
        <w:tc>
          <w:tcPr>
            <w:tcW w:w="9854" w:type="dxa"/>
          </w:tcPr>
          <w:p w:rsidR="00DB4822" w:rsidRPr="00DB4822" w:rsidRDefault="00DB4822" w:rsidP="004D7940">
            <w:pPr>
              <w:pStyle w:val="Konzulensek"/>
            </w:pPr>
            <w:r w:rsidRPr="00DB4822">
              <w:t>Zsolt Szomora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About the dogmatic questions of defensive acts relating to justifiable defence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core of this paper is constituted by the changes in the sources and quasi sources of law with regard to defensive acts which are considered to be the most referred ground of impunity. As a consequence, the dogmatic character of this legal institution may be altered. In light of the fact of a possible alteration, I would like to examine the problematic situations in connection with the classic justifiable defence, as well as the newly introduced situational justifiable defence either from the point of view of the statutory regulation and the uniformity decisions of the Curia.</w:t>
      </w:r>
      <w:r>
        <w:rPr>
          <w:color w:val="000000"/>
          <w:sz w:val="24"/>
          <w:szCs w:val="24"/>
        </w:rPr>
        <w:br/>
        <w:t xml:space="preserve">Following the above-mentioned objectives, I am going to describe the position of justifiable defence in the system of criminal law – with particular reference to the regulations by the Fundamental Law of Hungary – and the theoretical and practical points of view concerning the question of necessity and proportionality prior to the Decision for the Unified Interpretation of Criminal Law Nr. 4/2013. Particular attention will be paid to the intent of defence, which raises several questions to this day. I am going to review its application in the courts pratice and comment on the positions represented in legal literature.</w:t>
      </w:r>
      <w:r>
        <w:rPr>
          <w:color w:val="000000"/>
          <w:sz w:val="24"/>
          <w:szCs w:val="24"/>
        </w:rPr>
        <w:br/>
        <w:t xml:space="preserve">Afterwards, I am going to introduce the possible interpretations of the statements of the BJE 4/2013 about the defensive acts, highlighting the contradictions arising. I would also like to describe the guidelines which are too abstract in some cases. In connection with the classic justifiable defence, I would like to talk about the trends in regulation of excessus establishing impunity and the anomalies arising from the incompatibility of the explanatory notes to the CC.</w:t>
      </w:r>
      <w:r>
        <w:rPr>
          <w:color w:val="000000"/>
          <w:sz w:val="24"/>
          <w:szCs w:val="24"/>
        </w:rPr>
        <w:br/>
        <w:t xml:space="preserve">Following the logic of the statutory regulation, the situational defence – as the negative condition of excessus – is examined in the last part of my paper. First, I am going to set out my arguments about the formal regulatory technique and the contents of the regulation, focusing on the blending of the characteristics of legal presumptions and fictions. When analysing the possible cases (unlawful attack against a person, unlawful intrusion to an apartment, unlawful intrusion to a fenced area), due to the lack of courts practice, I am going to demonstrate the discrepancies of the legal institution with fictional examples created by myself that can happen in real life as well.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25936">
    <w:multiLevelType w:val="hybridMultilevel"/>
    <w:lvl w:ilvl="0" w:tplc="33439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25936">
    <w:abstractNumId w:val="17225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203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