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JÁNOS JENŐ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Pénzmosás tevékenységének szabályozása és néhány gyakorlati technikája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pénzmosás elméleti és gyakorlati elemeinek vizsgálatával foglalkoztam. Áttekintettem e tevékenység történetét, illetve szabályozását mind hazai, mind nemzetközi viszonylatban. Rendszereztem a különböző pénzmosási módszereket, metódusokat. Esetleírás gyűjteményt készítettem megtörtént ügyek felhasználásával, melyek segítségével igyekeztem rávilágítani a pénzmosás jelentőségére.</w:t>
      </w:r>
      <w:r>
        <w:rPr>
          <w:color w:val="000000"/>
          <w:sz w:val="24"/>
          <w:szCs w:val="24"/>
        </w:rPr>
        <w:br/>
        <w:t xml:space="preserve">Napjainkban a pénzmosás az egyik legnagyobb szabású és legjövedelmezőbb üzlet a világon. A kétezres évek elején az IMF által készített felmérés alapján a pénzmosás volumene a Föld összes országának egyesített GDP-jének körülbelül 2-5%-át teszi. E százalékos adatot, ha konkrét pénzösszegre lefordítjuk, mintegy 590-1500 milliárd amerikai dollárt jelent évente. Több elemző szerint napjainkra ez az összeg olyan nagyságokat ér el, hogy képes befolyásolni egyes országok nemzetgazdaságát, köszönhetően a pénzpiac globalizációjának, illetve a technológiai fejlődésnek.</w:t>
      </w:r>
      <w:r>
        <w:rPr>
          <w:color w:val="000000"/>
          <w:sz w:val="24"/>
          <w:szCs w:val="24"/>
        </w:rPr>
        <w:br/>
        <w:t xml:space="preserve">Témám jelentőségét mutatja az ENSZ Kábítószer-ellenőrzési és Bűnmegelőzési Hivatal (UNODe) ügyvezető igazgatójának szavai: „Bizonyos jelek szerint jó néhány bank kábítószer-kereskedelemből származó pénzekkel próbálta megoldani likviditási gondját a pénzügyi-gazdasági válság folyamán.” Jelenleg a drogpénz az egyetlen rendelkezésre álló likvid befektetési tőke, mivel tavaly (2001) a második félévben a likviditás jelentette a bankrendszer legnagyobb problémáját, a mozgótőke fontos tényezővé lépett elő.” Az ügyvezető igazgató beszédében kifejtette, hogy a szervezet olyan jelekre bukkant, amelyek szerint a bankközi hiteleket kábítószer-kereskedelemből és más törvénysértő tevékenységből származó pénzekből fedezték.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23289">
    <w:multiLevelType w:val="hybridMultilevel"/>
    <w:lvl w:ilvl="0" w:tplc="55427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23289">
    <w:abstractNumId w:val="30923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662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