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JANOS JENO VERES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Erdős</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Some practical techniques and regulation of money laundering activities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dealt with the examination of theoretical and practical elements of money laundering. I reviewed the history of money laundering, and its regulation both in domestic and international directions. I systematized the different kind of methods of money laundering. I made a collection of cases happened in the last few years with which help I tried to show the importance of money laundering.</w:t>
      </w:r>
      <w:r>
        <w:rPr>
          <w:color w:val="000000"/>
          <w:sz w:val="24"/>
          <w:szCs w:val="24"/>
        </w:rPr>
        <w:br/>
        <w:t xml:space="preserve">In these days money laundering is one of the biggest and the most profitable business in the world. In the beginning of the years of 2000 according to a survey made by IMF wideness of money laundering made 2-5% of united GDP of all country on the Earth. This data means, if we render it to money, about 590-1500 billion US Dollar in a year. According to several analysers by today this amount has reached such an extent that it is capable to influence the national economy of some country thanks to the globalization of money-market and the development of technology.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82667">
    <w:multiLevelType w:val="hybridMultilevel"/>
    <w:lvl w:ilvl="0" w:tplc="79811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82667">
    <w:abstractNumId w:val="56882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240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