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ALEXANDRA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Sántha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erőszakos szexuális bűncselekmények szabályozása- Ma és holnap?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„Nem mertem elmondani senkinek… Aztán mégis megtettem…</w:t>
      </w:r>
      <w:r>
        <w:rPr>
          <w:color w:val="000000"/>
          <w:sz w:val="24"/>
          <w:szCs w:val="24"/>
        </w:rPr>
        <w:br/>
        <w:t xml:space="preserve">Nagyon nehéz volt… mintha újra átélném az egészet…”</w:t>
      </w:r>
      <w:r>
        <w:rPr>
          <w:color w:val="000000"/>
          <w:sz w:val="24"/>
          <w:szCs w:val="24"/>
        </w:rPr>
        <w:br/>
        <w:t xml:space="preserve">(Éva 20 éves, szexuális erőszak áldozata)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Erőszakos szexuális bűncselekmények mindig voltak és lesznek a büntetőjogban, tekintettel arra, hogy igen súlyos deliktumokról van szó. E cselekmények átélése ugyanis kihat a passzív alanyok egész jövőbeli életére, súlyos pszichés zavarokat, a sértett traumatizációját idézhetik elő.</w:t>
      </w:r>
      <w:r>
        <w:rPr>
          <w:color w:val="000000"/>
          <w:sz w:val="24"/>
          <w:szCs w:val="24"/>
        </w:rPr>
        <w:br/>
        <w:t xml:space="preserve">A büntetőjogi szabályok függnek a társadalom aktuális értékítéletétől, így mind tartalmukban, mind a szabályozás nyelvezetében folyamatos változásokon mennek át. A régi Btk.-ban (1978. évi IV. törvény) szabályozott erőszakos nemi bűncselekményeket, vagyis az erőszakos közösülés és a szemérem elleni erőszak büntetőjogi szabályozását idővel számos kritika érte, tekintettel arra, hogy az 1978. évi Btk. a szabályozás struktúráját és terminológiáját a Csemegi Kódextől vette át, és a rendszerváltozás után jelentkező szemléletbeli változások a régi szabályozási szerkezetbe koherensen már nem voltak beilleszthetők. A szabályozáson való változást, változtatást, indokolta a nemzetközi jogalkotási kötelezettségek teljesítése is, amelyek szükségessé tették a nemi bűncselekmények újrakodifikálását.</w:t>
      </w:r>
      <w:r>
        <w:rPr>
          <w:color w:val="000000"/>
          <w:sz w:val="24"/>
          <w:szCs w:val="24"/>
        </w:rPr>
        <w:br/>
        <w:t xml:space="preserve">A jogalkotó az új Btk.-ban a korábbi szabályozással szemben megfogalmazott kritikákra reagálva új erőszakos szexuális bűncselekményeket alkotott, mégpedig a szexuális kényszerítés (196.§) és a szexuális erőszak (197. §) tényállását és ezzel számos, korábban jelentkező problémát megoldott.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Hogyan szabályoz a hatályos törvényünk? Miben hozott újat? Milyen nemzetközi dokumentumokra van figyelemmel? Mennyiben felel meg a nemzetközi elvárásoknak és európai kódexeknek? Csak válaszokat és megoldásokat hozott? Vagy újabb problémákat és megválaszolatlan kérdéseket is hagyott maga után?</w:t>
      </w:r>
      <w:r>
        <w:rPr>
          <w:color w:val="000000"/>
          <w:sz w:val="24"/>
          <w:szCs w:val="24"/>
        </w:rPr>
        <w:br/>
        <w:t xml:space="preserve">Dolgozatomban ezen kérdésekre keresem a választ.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318264">
    <w:multiLevelType w:val="hybridMultilevel"/>
    <w:lvl w:ilvl="0" w:tplc="903679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318264">
    <w:abstractNumId w:val="693182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4943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