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SEREG PÉTER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Koncz Ibolya Katalin</w:t>
            </w:r>
          </w:p>
          <w:p w:rsidR="00DB4822" w:rsidRDefault="00DB4822" w:rsidP="00E11062">
            <w:pPr>
              <w:pStyle w:val="Konzulensek"/>
            </w:pPr>
            <w:r w:rsidRPr="00DB4822">
              <w:t>intézeti tanszékvezető, 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„Vizsgáld a kort: s megérted emberét; vizsgáld az embert: s megérted korát!”A Királyi Curia története a reformkortól a kiegyezésig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ítélkező hatalom legfelsőbb szintjén elhelyezkedő egykori Királyi Curia több száz éves múltra visszatekintő intézmény volt. A hazai jogszolgáltatás fejlődésének legmeghatározóbb központi elemeként átívelő kapocsként volt jelen a magyar történelem viszontagságos évtizedeiben.</w:t>
      </w:r>
      <w:r>
        <w:rPr>
          <w:color w:val="000000"/>
          <w:sz w:val="24"/>
          <w:szCs w:val="24"/>
        </w:rPr>
        <w:br/>
        <w:t xml:space="preserve">A fent meghatározott korszakban próbálok minél pontosabb képet adni a Királyi Curiát alkotó kezdetben két, majd három fórumról. A hétszemélyes és királyi tábla az idő folyamán szinte elválaszthatatlan egységgé formálódva hozta létre a Királyi Curiát, amely fogalom ezen két tábla által töltődött meg tartalommal. Ezen egységhez társult a váltó-feltörvényszék, amelyet az 1840-ben megalkotott váltótörvény keltett életre, és a rendi korszak utolsó évtizedében adott választ a társadalmi és gazdasági életben bekövetkezett változásokra.</w:t>
      </w:r>
      <w:r>
        <w:rPr>
          <w:color w:val="000000"/>
          <w:sz w:val="24"/>
          <w:szCs w:val="24"/>
        </w:rPr>
        <w:br/>
        <w:t xml:space="preserve">A rendi korszakban való működésének kényszerű befejezését követően tizenkét éves szünet következett be a Királyi Curia történetében. Kossuth Lajos 1849. május 29-ei kormányzóelnöki rendeletében megszüntette a történelmi intézmény működését, és helyette a szabadságharc legfelsőbb bírói fórumait hívta életre.</w:t>
      </w:r>
      <w:r>
        <w:rPr>
          <w:color w:val="000000"/>
          <w:sz w:val="24"/>
          <w:szCs w:val="24"/>
        </w:rPr>
        <w:br/>
        <w:t xml:space="preserve">A neoabszolutizmus időszakában a központosítási törekvéseknek megfelelően a legmagasabb bírói fórum a bécsi székhelyű legfelsőbb törvényszék volt. A magyar bírói szervezetrendszerben alatta az öt kerületi főtörvényszék kapott helyet, amelyeknek nevükből következően nem országos, csak kerületi illetékességük volt.</w:t>
      </w:r>
      <w:r>
        <w:rPr>
          <w:color w:val="000000"/>
          <w:sz w:val="24"/>
          <w:szCs w:val="24"/>
        </w:rPr>
        <w:br/>
        <w:t xml:space="preserve">Az idő vas fogai azonban nem kímélték a mesterséges rendszert, és a passzív rezisztenciában megerősödött magyarság 1861-ben visszakapta történelmi intézményét, a Királyi Curiát.</w:t>
      </w:r>
      <w:r>
        <w:rPr>
          <w:color w:val="000000"/>
          <w:sz w:val="24"/>
          <w:szCs w:val="24"/>
        </w:rPr>
        <w:br/>
        <w:t xml:space="preserve">A fent említett kulcselemek nélkül nem beszélhetnénk a Királyi Curiáról, hiszen a hozzá kapcsolódó vékony fonalak összefonódása által kapjuk meg azt a történelmi időket összekötő elszakíthatatlan kötelet, amely mutatja számunkra az utat az igazság elérése felé.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563299">
    <w:multiLevelType w:val="hybridMultilevel"/>
    <w:lvl w:ilvl="0" w:tplc="153795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563299">
    <w:abstractNumId w:val="165632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57366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