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SEREG</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Catherine Violet Koncz Dr.</w:t>
            </w:r>
          </w:p>
          <w:p w:rsidR="00DB4822" w:rsidRDefault="00DB4822" w:rsidP="00E11062">
            <w:pPr>
              <w:pStyle w:val="Konzulensek"/>
            </w:pPr>
            <w:r w:rsidRPr="00DB4822">
              <w:t>Institute Head of Department, 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the era: and you will understand its people; study the people and you will understand their era!" The history of the Royal Court from the Reform Age until the Compromise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former “Hungarian Royal Curia” acting as the highest, superior court among Hungarian courts of justice was an institution with a history going back several centuries. The Curia existed as a connecting link, a central element in the development of Hungarian law in the troublesome decades of Hungarian history.</w:t>
      </w:r>
      <w:r>
        <w:rPr>
          <w:color w:val="000000"/>
          <w:sz w:val="24"/>
          <w:szCs w:val="24"/>
        </w:rPr>
        <w:br/>
        <w:t xml:space="preserve">I try to acquire a clear overview on the (two, and later three) forums constituting the Royal Curia in the above specified historical period. Over the years, the seven-member high court and the royal high court became a nearly inseparable new unit, thus creating the Royal Curia; this body became an actually operating institution through the joining of the two aforementioned high courts. The “váltó-feltörvényszék” established by the Bill of Exchange Law adopted in 1840 addressed the changes occurring in the social economic life of the country in the last decade of feudal monarchy.</w:t>
      </w:r>
      <w:r>
        <w:rPr>
          <w:color w:val="000000"/>
          <w:sz w:val="24"/>
          <w:szCs w:val="24"/>
        </w:rPr>
        <w:br/>
        <w:t xml:space="preserve">After the unplanned abruption of its operations under the feudal system, the Royal Curia did not operate for a period of twelve years. In his Regent-Presidential Decree of 29 May, 1849, Lajos Kossuth abolished the operations of the historical institution, and replaced it by the Supreme Court forums of the Hungarian War of Independence.</w:t>
      </w:r>
      <w:r>
        <w:rPr>
          <w:color w:val="000000"/>
          <w:sz w:val="24"/>
          <w:szCs w:val="24"/>
        </w:rPr>
        <w:br/>
        <w:t xml:space="preserve">In the era of neo-absolutism, the highest judicial forum – in line with the centralising intentions characteristic to those times – was the Supreme Court seating in Vienna. In the system of Hungarian courts of justice, five District High Courts could be found under the Supreme Court, which, in line with their names, did not have national-level, only district-level jurisdiction powers.</w:t>
      </w:r>
      <w:r>
        <w:rPr>
          <w:color w:val="000000"/>
          <w:sz w:val="24"/>
          <w:szCs w:val="24"/>
        </w:rPr>
        <w:br/>
        <w:t xml:space="preserve">Nevertheless, the ravages of time showed no mercy over this artificial system and the Hungarian nation, having gained strength through passive resistance, regained its historical institution, the Hungarian Royal Curia in 1861.</w:t>
      </w:r>
      <w:r>
        <w:rPr>
          <w:color w:val="000000"/>
          <w:sz w:val="24"/>
          <w:szCs w:val="24"/>
        </w:rPr>
        <w:br/>
        <w:t xml:space="preserve">One cannot discuss the Royal Curia without the above listed key elements, as the connection of the related “threads” are the ones which, when weaved together, form an unbreakable rope connecting historical eras which show the way towards getting to know the real truth about the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24876">
    <w:multiLevelType w:val="hybridMultilevel"/>
    <w:lvl w:ilvl="0" w:tplc="38668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24876">
    <w:abstractNumId w:val="74824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746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