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BAKSY</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Jánosi, dr.</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Status of child and minor-aged witnesses in criminal proceedings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children memory is most vigorous, and imagination is therefore excessively vivid.” (Giambattista Vico)</w:t>
      </w:r>
    </w:p>
    <w:p>
      <w:pPr>
        <w:widowControl w:val="on"/>
        <w:pBdr/>
        <w:spacing w:before="240" w:after="240" w:line="240" w:lineRule="auto"/>
        <w:ind w:left="0" w:right="0"/>
        <w:jc w:val="left"/>
      </w:pPr>
      <w:r>
        <w:rPr>
          <w:color w:val="000000"/>
          <w:sz w:val="24"/>
          <w:szCs w:val="24"/>
        </w:rPr>
        <w:t xml:space="preserve">Witnesses are important attendants of criminal proceedings and evidence, because in many cases the statement of fact can be settled only on the basis of their confessions, which leads to imposition of punishment in case of criminal law liability. While minor-aged person can serve in this significant position according to special provisions, but without conditions, children under the age of fourteen will be witnesses only if the proof of their confession is irreplaceble. The reason for that provision is the protection of the child from criminal proceedings, meeting the defendant and the fact that the children possess abilities necessary to a reliable confession only in a limited extent because of their age and maturity. Safeguards have to prevail in the proceedings to provide the protection and best interests of the child.</w:t>
      </w:r>
      <w:r>
        <w:rPr>
          <w:color w:val="000000"/>
          <w:sz w:val="24"/>
          <w:szCs w:val="24"/>
        </w:rPr>
        <w:br/>
        <w:t xml:space="preserve">I analyse and evaluate the relevant rules of the Hungarian Criminal Procedure Law after interpreting definitions. I mark the dispersion of these rules as a critical point of the regulation. We can find deficiencies in legislation, for example there is no rule for the case when a child had been interrogated by investigatory judge, his/her questioning is also needed at trial stage, but he/she has not turned fourteen. We can conclude from indirect provisions to the answers, but it would be better to clear the regulation. Furthermore I point at practical problems, for example the failure of providing the right of presence to the legal representative of the child or the minor-aged or of gaining the their permission to the confession. After examining the Hungarian regulations, there is a preview of international documents in the field of child friendly justice. Finally I deal with practical questions such as distortion of information during confession, the importance of the questioner, the technique and room of interrogation, especially child-questioning rooms.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58132">
    <w:multiLevelType w:val="hybridMultilevel"/>
    <w:lvl w:ilvl="0" w:tplc="68591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58132">
    <w:abstractNumId w:val="34458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831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