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ALEXANDRA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Róth Erika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igazságszolgáltatás gyermekközpontúságának büntetőeljárásjogi vetülete, avagy gyermek tanúk a büntetőeljárásban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„A gyerekek sok mindent tudnak, néha a legfurcsább dolgokkal is tisztában vannak.</w:t>
      </w:r>
      <w:r>
        <w:rPr>
          <w:color w:val="000000"/>
          <w:sz w:val="24"/>
          <w:szCs w:val="24"/>
        </w:rPr>
        <w:br/>
        <w:t xml:space="preserve">A gyerekeknek nagyon jó érzékük van.</w:t>
      </w:r>
      <w:r>
        <w:rPr>
          <w:color w:val="000000"/>
          <w:sz w:val="24"/>
          <w:szCs w:val="24"/>
        </w:rPr>
        <w:br/>
        <w:t xml:space="preserve">Sokat látnak, sokat megértenek, ha ritkán is beszélnek róla.</w:t>
      </w:r>
      <w:r>
        <w:rPr>
          <w:color w:val="000000"/>
          <w:sz w:val="24"/>
          <w:szCs w:val="24"/>
        </w:rPr>
        <w:br/>
        <w:t xml:space="preserve">Sokat tudnak, amit a felnőttek nem vesznek észre.”</w:t>
      </w:r>
      <w:r>
        <w:rPr>
          <w:color w:val="000000"/>
          <w:sz w:val="24"/>
          <w:szCs w:val="24"/>
        </w:rPr>
        <w:br/>
        <w:t xml:space="preserve">(Agatha Christie)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„gyermekközpontú igazságszolgáltatás” büntető eljárásjogi vetületének, pontosabban a gyermek tanúk büntető eljárásjogi helyzetének és a védelmüket szolgáló intézményeknek a bemutatása. A téma aktualitását mutatja, hogy manapság egyre többet hallunk arról, hogy a gyermekeket kiemelt védelemben kell részesíteni az élet minden területén, így többek között az igazságszolgáltatás, a büntető eljárásjog szférájában is. Ezt támasztja alá az is, hogy Magyarország Kormánya 2012-ben meghirdette a „Gyermekközpontú Igazságszolgáltatás Évét”, valamint az, hogy számos nemzetközi egyezmény és hazai jogszabály született és folyamatosan születik a témában.</w:t>
      </w:r>
      <w:r>
        <w:rPr>
          <w:color w:val="000000"/>
          <w:sz w:val="24"/>
          <w:szCs w:val="24"/>
        </w:rPr>
        <w:br/>
        <w:t xml:space="preserve">E sérülékeny csoport védelmére kiemelt figyelmet kell fordítani, tekintettel arra, hogy ha a gyermekek olyan igazságszolgáltatással kerülnek kapcsolatba, amely nem gyermekbarát, a jogaikat számos korlátozás vagy sérelem érheti.</w:t>
      </w:r>
      <w:r>
        <w:rPr>
          <w:color w:val="000000"/>
          <w:sz w:val="24"/>
          <w:szCs w:val="24"/>
        </w:rPr>
        <w:br/>
        <w:t xml:space="preserve">A gyermekek sokféleképpen kapcsolatba kerülhetnek a büntető-igazságszolgáltatással, így egyrészt terheltként, amennyiben bűncselekményt követnek el, másrészt sértettként, a bűncselekmény elszenvedőjeként, harmadrészt tanúként, hiszen előfordul, hogy a bíróság 14. életévét betöltött, esetleg be nem töltött gyermeket hallgat meg tanúként, és végül az ügyben érdekelt személyként.</w:t>
      </w:r>
      <w:r>
        <w:rPr>
          <w:color w:val="000000"/>
          <w:sz w:val="24"/>
          <w:szCs w:val="24"/>
        </w:rPr>
        <w:br/>
        <w:t xml:space="preserve">Bár a rendőrség és a bíróság nem lehet elfogult egy-egy terhelttel, sértettel vagy tanúval, a gyermekközpontú igazságszolgáltatás modellje szerint azonban fontos, hogy a gyermekek megkülönbözetett figyelemben részesüljenek az igazságszolgáltatás rendszerében.</w:t>
      </w:r>
      <w:r>
        <w:rPr>
          <w:color w:val="000000"/>
          <w:sz w:val="24"/>
          <w:szCs w:val="24"/>
        </w:rPr>
        <w:br/>
        <w:t xml:space="preserve">Kérdéses azonban, hogy mennyire képes igazodni a büntető-eljárás és az intézményrendszer a gyermekek és fiatalkorúak speciális helyzetéhez, szükségleteihez, nyelvezetéhez? Milyen speciális büntető eljárásjogi szabályok vonatkoznak rájuk? Milyen környezetben és hogyan kerülnek ki- és meghallgatásra, mi várja őket a rendőrségen és a bíróságon?</w:t>
      </w:r>
      <w:r>
        <w:rPr>
          <w:color w:val="000000"/>
          <w:sz w:val="24"/>
          <w:szCs w:val="24"/>
        </w:rPr>
        <w:br/>
        <w:t xml:space="preserve">Dolgozatomban - tekintettel arra, hogy a gyermekbarát igazságszolgáltatás program fő célszemélye az eljárásban sértettként, illetve tanúként szereplő gyermek - a sértett, illetve a tanú kategóriákra koncentrálva, e kérdések megválaszolására törekszem.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04100">
    <w:multiLevelType w:val="hybridMultilevel"/>
    <w:lvl w:ilvl="0" w:tplc="10676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04100">
    <w:abstractNumId w:val="56504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5617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