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NAGY</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Róth</w:t>
            </w:r>
          </w:p>
          <w:p w:rsidR="00DB4822" w:rsidRDefault="00DB4822" w:rsidP="00E11062">
            <w:pPr>
              <w:pStyle w:val="Konzulensek"/>
            </w:pPr>
            <w:r w:rsidRPr="00DB4822">
              <w:t>reader,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Criminal procedural aspects of the child-focused justice or child witnesses in the criminal procedure </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Children do, you know. They know the most extraordinary things. People of that age know a lot, they see a lot, they don't talk about it very often. But they do know things that the outside world wouldn't know.</w:t>
      </w:r>
      <w:r>
        <w:rPr>
          <w:color w:val="000000"/>
          <w:sz w:val="24"/>
          <w:szCs w:val="24"/>
        </w:rPr>
        <w:br/>
        <w:t xml:space="preserve">(Agatha Christie)</w:t>
      </w:r>
      <w:r>
        <w:rPr>
          <w:color w:val="000000"/>
          <w:sz w:val="24"/>
          <w:szCs w:val="24"/>
        </w:rPr>
        <w:br/>
        <w:t xml:space="preserve">The topic of my dissertation is the criminal procedural aspects of child-focused justice, specifically the presentation of the criminal procedural situation of children and the institutions serving their protection. It presents the up-to-dateness of the topic that nowadays it is widely emphasized that children should be exceptionally protected in all spheres of life, so - among others - in the spheres of justice and criminal procedural law. It is also supported with the fact that the Goverment of Hungary announced the „Year of Child-protected Justice” in 2012 and with the numerous international treaties and national laws adopted and still being adopted in this area.</w:t>
      </w:r>
      <w:r>
        <w:rPr>
          <w:color w:val="000000"/>
          <w:sz w:val="24"/>
          <w:szCs w:val="24"/>
        </w:rPr>
        <w:br/>
        <w:t xml:space="preserve">We have to direct our attention to this vulnerable group whereas the children get in touch with a non-child-protected justice, their rights can be limited or hurted.</w:t>
      </w:r>
      <w:r>
        <w:rPr>
          <w:color w:val="000000"/>
          <w:sz w:val="24"/>
          <w:szCs w:val="24"/>
        </w:rPr>
        <w:br/>
        <w:t xml:space="preserve">Children can be connected to justice in many ways . They can be accuseds if they commit a crime, they can be the victims of the crime and they also can be witnesses because it happens that court hears children under or above 14 years as a witness. They can also be persons involved in the case.</w:t>
      </w:r>
      <w:r>
        <w:rPr>
          <w:color w:val="000000"/>
          <w:sz w:val="24"/>
          <w:szCs w:val="24"/>
        </w:rPr>
        <w:br/>
        <w:t xml:space="preserve">Although police and court can not be predisposed in the accused’s, victim’s or witness’ favour according to child-focused justice it is important that children should receive distinquished attention in justice.</w:t>
      </w:r>
      <w:r>
        <w:rPr>
          <w:color w:val="000000"/>
          <w:sz w:val="24"/>
          <w:szCs w:val="24"/>
        </w:rPr>
        <w:br/>
        <w:t xml:space="preserve">However it is questionable how the criminal procedure and institutions can adjust to the special situation, needs and language of children and juveniles. What kind of special procedural rules are concerning them? How and where are they heard? What is happening with them in the police station and in the court?</w:t>
      </w:r>
      <w:r>
        <w:rPr>
          <w:color w:val="000000"/>
          <w:sz w:val="24"/>
          <w:szCs w:val="24"/>
        </w:rPr>
        <w:br/>
        <w:t xml:space="preserve">In my dissertation I try to answer these questions focusing on the categories of victim and witness regarding that the main persons of the child-focused justice programme are these children.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38346">
    <w:multiLevelType w:val="hybridMultilevel"/>
    <w:lvl w:ilvl="0" w:tplc="62344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38346">
    <w:abstractNumId w:val="44638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06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