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NYÍRI ADRIENN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Adrienn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közigazgatási perek aktuális problémái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zajlik az új Polgári perrendtartás kodifikációja, amely munka során számtalan problematikus terület vár átgondolásra. Ezek közül talán az egyik legfontosabb rendezendő kérdés a közigazgatási perek hatályos szabályozása és ehhez kapcsolódóan egy új szabályozási koncepció kidolgozása. A közigazgatási pereket jelenleg még a Polgári perrendtartás szabályozza, ám a gyakorlatban számos kritika éri ezen megoldást. Időről időre kihangsúlyozásra kerülnek ugyanis jelen pertípusnak a polgári perekhez képest markánsan eltérő sajátosságai. A jogi hivatás képviselői közül egyre többen és egyre gyakrabban fejtik ki véleményüket a témában és éles viták kibontakozása is megfigyelhető. Számtalan elgondolás és reformjavaslat született már a közigazgatási perek hatályostól eltérő szabályozásával kapcsolatban, valamint a Kúria is több alkalommal elemzése tárgyává tette a kérdést. Dolgozatomban a terjedelmi korlátok között ezek vizsgálatára, az eltérő nézőpontok ütköztetésére és a saját véleményem kifejtésére törekszem.</w:t>
      </w:r>
      <w:r>
        <w:rPr>
          <w:color w:val="000000"/>
          <w:sz w:val="24"/>
          <w:szCs w:val="24"/>
        </w:rPr>
        <w:br/>
        <w:t xml:space="preserve">A közigazgatási perek számos részletszabálya vizsgálat tárgyát képezhetné, ám nem ez a célom. Témám szempontjából nem ezek a relevánsak, hanem a szabályozás néhány főbb pontján túlmenően, azoknak az elméleti kérdéseknek (és ezek gyakorlati megvalósíthatóságának) a vizsgálata, amelyek a hatályos rendszert alapjaiban változtatnák meg. Rövid áttekintést érdemel a hazai közigazgatási bíráskodás története, továbbá a közigazgatási jogvita tárgyának pontos meghatározása. Nem kerülhető meg a közigazgatási perek és a polgári perek összehasonlítása sem. Lényeges kérdésnek tartom a jogorvoslathoz való jog érvényesülésének mikéntjét ezen pertípusok esetén, valamint az önálló perrendtartás gondolatának megvizsgálását. Nem hagyható figyelmen kívül a más országokban működő közigazgatási különbíróságok gondolata sem. Dolgozatom részét képezi továbbá a nemzetközi kitekintés, a más országokban működő gyakorlat áttekintése, valamint annak feldolgozása, hogy a hazai szakemberek hogyan viszonyulnak a szabályozáshoz.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955916">
    <w:multiLevelType w:val="hybridMultilevel"/>
    <w:lvl w:ilvl="0" w:tplc="195360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955916">
    <w:abstractNumId w:val="369559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59146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