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NYÍRI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Nagy, Dr.</w:t>
            </w:r>
          </w:p>
          <w:p w:rsidR="00DB4822" w:rsidRDefault="00DB4822" w:rsidP="00E11062">
            <w:pPr>
              <w:pStyle w:val="Konzulensek"/>
            </w:pPr>
            <w:r w:rsidRPr="00DB4822">
              <w:t>reader,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Current problems of administrative suits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codification of the new Civil Procedural Act is in progress. During it there are many problematic fields which should be considered. Among these the effective regulation of administrative suits is one of the most important field that should be arranged and a new regulation scheme is necessary. Administrative suits are regulated in the Civil Procedural Act now however this practice is critised. There are sharp differences between this type of suit and civil suits. Many legal experts express their opinion in connection with the topic and serious disputes can also be noticed. Many conceptions and reform plans have been born in connection with a different regulation from the effective one. Curia has also examined the question many times. In my dissertation – among the length limitation- my aim is to examine these ideas, to make them coincide and to express my own opinion.</w:t>
      </w:r>
      <w:r>
        <w:rPr>
          <w:color w:val="000000"/>
          <w:sz w:val="24"/>
          <w:szCs w:val="24"/>
        </w:rPr>
        <w:br/>
        <w:t xml:space="preserve">Many detailed rules of adminsitrative suits could have been examined but it is not my aim. These are not relevant in my dissertation instead I examine the most important rules of the effective system and those kind of theoretic questions and their practical relevance which would reform the effective system basicly. It is worth surveying the history of our national administrative justice and the exact definition of the subject of adminsitrative legal dispute. Comparison between administrative and civil suits is also relevant. I think it is very important to examine how the right of remedy prevails in this type of suit. It is unavoidable to deal with the conception of a new codex and with administrative courts working in other countries. International practice has also an important role my dissertation and researches about what domestic legal experts think about these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92449">
    <w:multiLevelType w:val="hybridMultilevel"/>
    <w:lvl w:ilvl="0" w:tplc="56929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92449">
    <w:abstractNumId w:val="29192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058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